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ФАС России от 30.06.2022 N 490/22</w:t>
              <w:br/>
              <w:t xml:space="preserve">"Об утверждении Методических указаний по определению размера платы за технологическое присоединение к электрическим сетям"</w:t>
              <w:br/>
              <w:t xml:space="preserve">(Зарегистрировано в Минюсте России 19.08.2022 N 69710)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августа 2022 г. N 69710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АНТИМОНОПОЛЬНАЯ СЛУЖБА</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июня 2022 г. N 490/22</w:t>
      </w:r>
    </w:p>
    <w:p>
      <w:pPr>
        <w:pStyle w:val="2"/>
        <w:jc w:val="center"/>
      </w:pPr>
      <w:r>
        <w:rPr>
          <w:sz w:val="20"/>
        </w:rPr>
      </w:r>
    </w:p>
    <w:p>
      <w:pPr>
        <w:pStyle w:val="2"/>
        <w:jc w:val="center"/>
      </w:pPr>
      <w:r>
        <w:rPr>
          <w:sz w:val="20"/>
        </w:rPr>
        <w:t xml:space="preserve">ОБ УТВЕРЖДЕНИИ МЕТОДИЧЕСКИХ УКАЗАНИЙ</w:t>
      </w:r>
    </w:p>
    <w:p>
      <w:pPr>
        <w:pStyle w:val="2"/>
        <w:jc w:val="center"/>
      </w:pPr>
      <w:r>
        <w:rPr>
          <w:sz w:val="20"/>
        </w:rPr>
        <w:t xml:space="preserve">ПО ОПРЕДЕЛЕНИЮ РАЗМЕРА ПЛАТЫ ЗА ТЕХНОЛОГИЧЕСКОЕ</w:t>
      </w:r>
    </w:p>
    <w:p>
      <w:pPr>
        <w:pStyle w:val="2"/>
        <w:jc w:val="center"/>
      </w:pPr>
      <w:r>
        <w:rPr>
          <w:sz w:val="20"/>
        </w:rPr>
        <w:t xml:space="preserve">ПРИСОЕДИНЕНИЕ К ЭЛЕКТРИЧЕСКИМ СЕТЯМ</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6.03.2003 N 35-ФЗ (ред. от 11.06.2022) &quot;Об электроэнергетике&quot; (с изм. и доп., вступ. в силу с 10.09.2022) {КонсультантПлюс}">
        <w:r>
          <w:rPr>
            <w:sz w:val="20"/>
            <w:color w:val="0000ff"/>
          </w:rPr>
          <w:t xml:space="preserve">абзацем четвертым пункта 2 статьи 24</w:t>
        </w:r>
      </w:hyperlink>
      <w:r>
        <w:rPr>
          <w:sz w:val="20"/>
        </w:rP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w:history="0" r:id="rId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пунктом 87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
    <w:p>
      <w:pPr>
        <w:pStyle w:val="0"/>
        <w:spacing w:before="200" w:line-rule="auto"/>
        <w:ind w:firstLine="540"/>
        <w:jc w:val="both"/>
      </w:pPr>
      <w:r>
        <w:rPr>
          <w:sz w:val="20"/>
        </w:rPr>
        <w:t xml:space="preserve">1. Утвердить Методические </w:t>
      </w:r>
      <w:hyperlink w:history="0" w:anchor="P34" w:tooltip="МЕТОДИЧЕСКИЕ УКАЗАНИЯ">
        <w:r>
          <w:rPr>
            <w:sz w:val="20"/>
            <w:color w:val="0000ff"/>
          </w:rPr>
          <w:t xml:space="preserve">указания</w:t>
        </w:r>
      </w:hyperlink>
      <w:r>
        <w:rPr>
          <w:sz w:val="20"/>
        </w:rPr>
        <w:t xml:space="preserve"> по определению размера платы за технологическое присоединение к электрическим сетям согласно приложению к настоящему приказу.</w:t>
      </w:r>
    </w:p>
    <w:p>
      <w:pPr>
        <w:pStyle w:val="0"/>
        <w:spacing w:before="200" w:line-rule="auto"/>
        <w:ind w:firstLine="540"/>
        <w:jc w:val="both"/>
      </w:pPr>
      <w:r>
        <w:rPr>
          <w:sz w:val="20"/>
        </w:rPr>
        <w:t xml:space="preserve">2. Признать утратившими силу приказы ФАС России:</w:t>
      </w:r>
    </w:p>
    <w:p>
      <w:pPr>
        <w:pStyle w:val="0"/>
        <w:spacing w:before="200" w:line-rule="auto"/>
        <w:ind w:firstLine="540"/>
        <w:jc w:val="both"/>
      </w:pPr>
      <w:r>
        <w:rPr>
          <w:sz w:val="20"/>
        </w:rPr>
        <w:t xml:space="preserve">- от 29 августа 2017 г. </w:t>
      </w:r>
      <w:hyperlink w:history="0" r:id="rId9" w:tooltip="Приказ ФАС России от 29.08.2017 N 1135/17 (ред. от 01.12.2021)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10.2017 N 48609) ------------ Утратил силу или отменен {КонсультантПлюс}">
        <w:r>
          <w:rPr>
            <w:sz w:val="20"/>
            <w:color w:val="0000ff"/>
          </w:rPr>
          <w:t xml:space="preserve">N 1135/17</w:t>
        </w:r>
      </w:hyperlink>
      <w:r>
        <w:rPr>
          <w:sz w:val="20"/>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pPr>
        <w:pStyle w:val="0"/>
        <w:spacing w:before="200" w:line-rule="auto"/>
        <w:ind w:firstLine="540"/>
        <w:jc w:val="both"/>
      </w:pPr>
      <w:r>
        <w:rPr>
          <w:sz w:val="20"/>
        </w:rPr>
        <w:t xml:space="preserve">- от 1 апреля 2020 г. </w:t>
      </w:r>
      <w:hyperlink w:history="0" r:id="rId10" w:tooltip="Приказ ФАС России от 01.04.2020 N 348/20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quot; (Зарегистрировано в Минюсте России 17.06.2020 N 58683) ------------ Утратил силу или отменен {КонсультантПлюс}">
        <w:r>
          <w:rPr>
            <w:sz w:val="20"/>
            <w:color w:val="0000ff"/>
          </w:rPr>
          <w:t xml:space="preserve">N 348/20</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pPr>
        <w:pStyle w:val="0"/>
        <w:spacing w:before="200" w:line-rule="auto"/>
        <w:ind w:firstLine="540"/>
        <w:jc w:val="both"/>
      </w:pPr>
      <w:r>
        <w:rPr>
          <w:sz w:val="20"/>
        </w:rPr>
        <w:t xml:space="preserve">- от 22 июня 2020 г. </w:t>
      </w:r>
      <w:hyperlink w:history="0" r:id="rId11" w:tooltip="Приказ ФАС России от 22.06.2020 N 560/20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quot; (Зарегистрировано в Минюсте России 24.07.2020 N 59062) ------------ Утратил силу или отменен {КонсультантПлюс}">
        <w:r>
          <w:rPr>
            <w:sz w:val="20"/>
            <w:color w:val="0000ff"/>
          </w:rPr>
          <w:t xml:space="preserve">N 560/20</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pPr>
        <w:pStyle w:val="0"/>
        <w:spacing w:before="200" w:line-rule="auto"/>
        <w:ind w:firstLine="540"/>
        <w:jc w:val="both"/>
      </w:pPr>
      <w:r>
        <w:rPr>
          <w:sz w:val="20"/>
        </w:rPr>
        <w:t xml:space="preserve">- от 21 апреля 2021 г. </w:t>
      </w:r>
      <w:hyperlink w:history="0" r:id="rId12" w:tooltip="Приказ ФАС России от 21.04.2021 N 373/21 &quot;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quot; (Зарегистрировано в Минюсте России 21.05.2021 N 63561) ------------ Утратил силу или отменен {КонсультантПлюс}">
        <w:r>
          <w:rPr>
            <w:sz w:val="20"/>
            <w:color w:val="0000ff"/>
          </w:rPr>
          <w:t xml:space="preserve">N 373/21</w:t>
        </w:r>
      </w:hyperlink>
      <w:r>
        <w:rPr>
          <w:sz w:val="20"/>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pPr>
        <w:pStyle w:val="0"/>
        <w:spacing w:before="200" w:line-rule="auto"/>
        <w:ind w:firstLine="540"/>
        <w:jc w:val="both"/>
      </w:pPr>
      <w:r>
        <w:rPr>
          <w:sz w:val="20"/>
        </w:rPr>
        <w:t xml:space="preserve">- от 1 декабря 2021 г. </w:t>
      </w:r>
      <w:hyperlink w:history="0" r:id="rId13" w:tooltip="Приказ ФАС России от 01.12.2021 N 1336/21 &quot;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quot; (Зарегистрировано в Минюсте России 30.12.2021 N 66696) ------------ Утратил силу или отменен {КонсультантПлюс}">
        <w:r>
          <w:rPr>
            <w:sz w:val="20"/>
            <w:color w:val="0000ff"/>
          </w:rPr>
          <w:t xml:space="preserve">N 1336/21</w:t>
        </w:r>
      </w:hyperlink>
      <w:r>
        <w:rPr>
          <w:sz w:val="20"/>
        </w:rP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pPr>
        <w:pStyle w:val="0"/>
        <w:spacing w:before="200" w:line-rule="auto"/>
        <w:ind w:firstLine="540"/>
        <w:jc w:val="both"/>
      </w:pPr>
      <w:r>
        <w:rPr>
          <w:sz w:val="20"/>
        </w:rPr>
        <w:t xml:space="preserve">3. Контроль исполнения настоящего приказа возложить на заместителя руководителя ФАС России В.Г. Королева.</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М.А.ШАСКОЛЬСКИЙ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ФАС России</w:t>
      </w:r>
    </w:p>
    <w:p>
      <w:pPr>
        <w:pStyle w:val="0"/>
        <w:jc w:val="right"/>
      </w:pPr>
      <w:r>
        <w:rPr>
          <w:sz w:val="20"/>
        </w:rPr>
        <w:t xml:space="preserve">от 30.06.2022 N 490/22</w:t>
      </w:r>
    </w:p>
    <w:p>
      <w:pPr>
        <w:pStyle w:val="0"/>
        <w:jc w:val="both"/>
      </w:pPr>
      <w:r>
        <w:rPr>
          <w:sz w:val="20"/>
        </w:rPr>
      </w:r>
    </w:p>
    <w:bookmarkStart w:id="34" w:name="P34"/>
    <w:bookmarkEnd w:id="34"/>
    <w:p>
      <w:pPr>
        <w:pStyle w:val="2"/>
        <w:jc w:val="center"/>
      </w:pPr>
      <w:r>
        <w:rPr>
          <w:sz w:val="20"/>
        </w:rPr>
        <w:t xml:space="preserve">МЕТОДИЧЕСКИЕ УКАЗАНИЯ</w:t>
      </w:r>
    </w:p>
    <w:p>
      <w:pPr>
        <w:pStyle w:val="2"/>
        <w:jc w:val="center"/>
      </w:pPr>
      <w:r>
        <w:rPr>
          <w:sz w:val="20"/>
        </w:rPr>
        <w:t xml:space="preserve">ПО ОПРЕДЕЛЕНИЮ РАЗМЕРА ПЛАТЫ ЗА ТЕХНОЛОГИЧЕСКОЕ</w:t>
      </w:r>
    </w:p>
    <w:p>
      <w:pPr>
        <w:pStyle w:val="2"/>
        <w:jc w:val="center"/>
      </w:pPr>
      <w:r>
        <w:rPr>
          <w:sz w:val="20"/>
        </w:rPr>
        <w:t xml:space="preserve">ПРИСОЕДИНЕНИЕ К ЭЛЕКТРИЧЕСКИМ СЕТЯМ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pPr>
        <w:pStyle w:val="0"/>
        <w:spacing w:before="200" w:line-rule="auto"/>
        <w:ind w:firstLine="540"/>
        <w:jc w:val="both"/>
      </w:pPr>
      <w:r>
        <w:rPr>
          <w:sz w:val="20"/>
        </w:rPr>
        <w:t xml:space="preserve">2.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pPr>
        <w:pStyle w:val="0"/>
        <w:spacing w:before="200" w:line-rule="auto"/>
        <w:ind w:firstLine="540"/>
        <w:jc w:val="both"/>
      </w:pPr>
      <w:r>
        <w:rPr>
          <w:sz w:val="20"/>
        </w:rPr>
        <w:t xml:space="preserve">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pPr>
        <w:pStyle w:val="0"/>
        <w:spacing w:before="200" w:line-rule="auto"/>
        <w:ind w:firstLine="540"/>
        <w:jc w:val="both"/>
      </w:pPr>
      <w:r>
        <w:rPr>
          <w:sz w:val="20"/>
        </w:rPr>
        <w:t xml:space="preserve">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pPr>
        <w:pStyle w:val="0"/>
        <w:spacing w:before="200" w:line-rule="auto"/>
        <w:ind w:firstLine="540"/>
        <w:jc w:val="both"/>
      </w:pPr>
      <w:r>
        <w:rPr>
          <w:sz w:val="20"/>
        </w:rPr>
        <w:t xml:space="preserve">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pPr>
        <w:pStyle w:val="0"/>
        <w:spacing w:before="200" w:line-rule="auto"/>
        <w:ind w:firstLine="540"/>
        <w:jc w:val="both"/>
      </w:pPr>
      <w:r>
        <w:rPr>
          <w:sz w:val="20"/>
        </w:rPr>
        <w:t xml:space="preserve">4. Плата за технологическое присоединение взимается однократно.</w:t>
      </w:r>
    </w:p>
    <w:p>
      <w:pPr>
        <w:pStyle w:val="0"/>
        <w:spacing w:before="200" w:line-rule="auto"/>
        <w:ind w:firstLine="540"/>
        <w:jc w:val="both"/>
      </w:pPr>
      <w:r>
        <w:rPr>
          <w:sz w:val="20"/>
        </w:rPr>
        <w:t xml:space="preserve">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pPr>
        <w:pStyle w:val="0"/>
        <w:spacing w:before="200" w:line-rule="auto"/>
        <w:ind w:firstLine="540"/>
        <w:jc w:val="both"/>
      </w:pPr>
      <w:r>
        <w:rPr>
          <w:sz w:val="20"/>
        </w:rPr>
        <w:t xml:space="preserve">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pPr>
        <w:pStyle w:val="0"/>
        <w:spacing w:before="200" w:line-rule="auto"/>
        <w:ind w:firstLine="540"/>
        <w:jc w:val="both"/>
      </w:pPr>
      <w:r>
        <w:rPr>
          <w:sz w:val="20"/>
        </w:rPr>
        <w:t xml:space="preserve">2) в виде формулы, учитывающей расходы на осуществление мероприятий, включаемых в стандартизированную тарифную ставку С</w:t>
      </w:r>
      <w:r>
        <w:rPr>
          <w:sz w:val="20"/>
          <w:vertAlign w:val="subscript"/>
        </w:rPr>
        <w:t xml:space="preserve">1</w:t>
      </w:r>
      <w:r>
        <w:rPr>
          <w:sz w:val="20"/>
        </w:rPr>
        <w:t xml:space="preserve">, указанную в </w:t>
      </w:r>
      <w:hyperlink w:history="0" w:anchor="P206" w:tooltip="26. Стандартизированная тарифная ставка С1,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1.1 и С1.2 с дифференциацией по следующим категориям заявителей:">
        <w:r>
          <w:rPr>
            <w:sz w:val="20"/>
            <w:color w:val="0000ff"/>
          </w:rPr>
          <w:t xml:space="preserve">пункте 26</w:t>
        </w:r>
      </w:hyperlink>
      <w:r>
        <w:rPr>
          <w:sz w:val="20"/>
        </w:rPr>
        <w:t xml:space="preserve"> Методических указаний, и стандартизированную тарифную ставку С</w:t>
      </w:r>
      <w:r>
        <w:rPr>
          <w:sz w:val="20"/>
          <w:vertAlign w:val="subscript"/>
        </w:rPr>
        <w:t xml:space="preserve">8</w:t>
      </w:r>
      <w:r>
        <w:rPr>
          <w:sz w:val="20"/>
        </w:rPr>
        <w:t xml:space="preserve">, указанную в </w:t>
      </w:r>
      <w:hyperlink w:history="0" w:anchor="P210" w:tooltip="27. Стандартизированная тарифная ставка С8,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
        <w:r>
          <w:rPr>
            <w:sz w:val="20"/>
            <w:color w:val="0000ff"/>
          </w:rPr>
          <w:t xml:space="preserve">пункте 27</w:t>
        </w:r>
      </w:hyperlink>
      <w:r>
        <w:rPr>
          <w:sz w:val="20"/>
        </w:rP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w:history="0" r:id="rId1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статьей 49</w:t>
        </w:r>
      </w:hyperlink>
      <w:r>
        <w:rPr>
          <w:sz w:val="20"/>
        </w:rPr>
        <w:t xml:space="preserve"> Градостроительного кодекса Российской Федерации (Собрание законодательства Российской Федерации, 2005, N 1, ст. 16; 2022, N 1, ст. 45), в случае технологического присоединения объектов по производству электрической энергии;</w:t>
      </w:r>
    </w:p>
    <w:p>
      <w:pPr>
        <w:pStyle w:val="0"/>
        <w:spacing w:before="200" w:line-rule="auto"/>
        <w:ind w:firstLine="540"/>
        <w:jc w:val="both"/>
      </w:pPr>
      <w:r>
        <w:rPr>
          <w:sz w:val="20"/>
        </w:rPr>
        <w:t xml:space="preserve">3) в виде формулы, учитывающей расходы на осуществление мероприятий, включаемых в стандартизированную тарифную ставку С</w:t>
      </w:r>
      <w:r>
        <w:rPr>
          <w:sz w:val="20"/>
          <w:vertAlign w:val="subscript"/>
        </w:rPr>
        <w:t xml:space="preserve">1</w:t>
      </w:r>
      <w:r>
        <w:rPr>
          <w:sz w:val="20"/>
        </w:rPr>
        <w:t xml:space="preserve">, указанную в </w:t>
      </w:r>
      <w:hyperlink w:history="0" w:anchor="P206" w:tooltip="26. Стандартизированная тарифная ставка С1,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1.1 и С1.2 с дифференциацией по следующим категориям заявителей:">
        <w:r>
          <w:rPr>
            <w:sz w:val="20"/>
            <w:color w:val="0000ff"/>
          </w:rPr>
          <w:t xml:space="preserve">пункте 26</w:t>
        </w:r>
      </w:hyperlink>
      <w:r>
        <w:rPr>
          <w:sz w:val="20"/>
        </w:rPr>
        <w:t xml:space="preserve"> Методических указаний, и стандартизированную тарифную ставку С</w:t>
      </w:r>
      <w:r>
        <w:rPr>
          <w:sz w:val="20"/>
          <w:vertAlign w:val="subscript"/>
        </w:rPr>
        <w:t xml:space="preserve">8</w:t>
      </w:r>
      <w:r>
        <w:rPr>
          <w:sz w:val="20"/>
        </w:rPr>
        <w:t xml:space="preserve">, указанную в </w:t>
      </w:r>
      <w:hyperlink w:history="0" w:anchor="P210" w:tooltip="27. Стандартизированная тарифная ставка С8,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
        <w:r>
          <w:rPr>
            <w:sz w:val="20"/>
            <w:color w:val="0000ff"/>
          </w:rPr>
          <w:t xml:space="preserve">пункте 27</w:t>
        </w:r>
      </w:hyperlink>
      <w:r>
        <w:rPr>
          <w:sz w:val="20"/>
        </w:rP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pPr>
        <w:pStyle w:val="0"/>
        <w:spacing w:before="200" w:line-rule="auto"/>
        <w:ind w:firstLine="540"/>
        <w:jc w:val="both"/>
      </w:pPr>
      <w:r>
        <w:rPr>
          <w:sz w:val="20"/>
        </w:rPr>
        <w:t xml:space="preserve">6. Плата за технологическое присоединение к территориальным распределительным сетям определяется исходя из:</w:t>
      </w:r>
    </w:p>
    <w:p>
      <w:pPr>
        <w:pStyle w:val="0"/>
        <w:spacing w:before="200" w:line-rule="auto"/>
        <w:ind w:firstLine="540"/>
        <w:jc w:val="both"/>
      </w:pPr>
      <w:r>
        <w:rPr>
          <w:sz w:val="20"/>
        </w:rPr>
        <w:t xml:space="preserve">1) льготной ставки за 1 кВт запрашиваемой максимальной мощности, предусмотренной </w:t>
      </w:r>
      <w:hyperlink w:history="0" r:id="rId1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восьмым пункта 87</w:t>
        </w:r>
      </w:hyperlink>
      <w:r>
        <w:rPr>
          <w:sz w:val="20"/>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
    <w:p>
      <w:pPr>
        <w:pStyle w:val="0"/>
        <w:spacing w:before="200" w:line-rule="auto"/>
        <w:ind w:firstLine="540"/>
        <w:jc w:val="both"/>
      </w:pPr>
      <w:r>
        <w:rPr>
          <w:sz w:val="20"/>
        </w:rPr>
        <w:t xml:space="preserve">2) формулы платы за технологическое присоединение с применением стандартизированных тарифных ставок согласно </w:t>
      </w:r>
      <w:hyperlink w:history="0" w:anchor="P118" w:tooltip="II. Расчет платы за технологическое присоединение">
        <w:r>
          <w:rPr>
            <w:sz w:val="20"/>
            <w:color w:val="0000ff"/>
          </w:rPr>
          <w:t xml:space="preserve">главе II</w:t>
        </w:r>
      </w:hyperlink>
      <w:r>
        <w:rPr>
          <w:sz w:val="20"/>
        </w:rPr>
        <w:t xml:space="preserve"> Методических указаний;</w:t>
      </w:r>
    </w:p>
    <w:p>
      <w:pPr>
        <w:pStyle w:val="0"/>
        <w:spacing w:before="200" w:line-rule="auto"/>
        <w:ind w:firstLine="540"/>
        <w:jc w:val="both"/>
      </w:pPr>
      <w:r>
        <w:rPr>
          <w:sz w:val="20"/>
        </w:rPr>
        <w:t xml:space="preserve">3) решения об установления платы за технологическое присоединение по индивидуальному проекту в случаях, предусмотренных </w:t>
      </w:r>
      <w:hyperlink w:history="0" r:id="rId1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III</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2022, N 1, ст. 255) (далее - Правила технологического присоединения), в соответствии с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w:t>
      </w:r>
    </w:p>
    <w:p>
      <w:pPr>
        <w:pStyle w:val="0"/>
        <w:spacing w:before="200" w:line-rule="auto"/>
        <w:ind w:firstLine="540"/>
        <w:jc w:val="both"/>
      </w:pPr>
      <w:r>
        <w:rPr>
          <w:sz w:val="20"/>
        </w:rPr>
        <w:t xml:space="preserve">7.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bookmarkStart w:id="55" w:name="P55"/>
    <w:bookmarkEnd w:id="55"/>
    <w:p>
      <w:pPr>
        <w:pStyle w:val="0"/>
        <w:spacing w:before="200" w:line-rule="auto"/>
        <w:ind w:firstLine="540"/>
        <w:jc w:val="both"/>
      </w:pPr>
      <w:r>
        <w:rPr>
          <w:sz w:val="20"/>
        </w:rPr>
        <w:t xml:space="preserve">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w:history="0" r:id="rId1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абзацах одиннадцатом</w:t>
        </w:r>
      </w:hyperlink>
      <w:r>
        <w:rPr>
          <w:sz w:val="20"/>
        </w:rPr>
        <w:t xml:space="preserve"> - </w:t>
      </w:r>
      <w:hyperlink w:history="0" r:id="rId1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девятнадцатом пункта 17</w:t>
        </w:r>
      </w:hyperlink>
      <w:r>
        <w:rPr>
          <w:sz w:val="20"/>
        </w:rPr>
        <w:t xml:space="preserve"> Правил технологического присоединения (Собрание законодательства Российской Федерации, 2004, N 52, ст. 5525; 2022, N 27, ст. 4863), плата за технологическое присоединение энергопринимающих устройств и (или) объектов микрогенерации (P</w:t>
      </w:r>
      <w:r>
        <w:rPr>
          <w:sz w:val="20"/>
          <w:vertAlign w:val="subscript"/>
        </w:rPr>
        <w:t xml:space="preserve">(соц)</w:t>
      </w:r>
      <w:r>
        <w:rPr>
          <w:sz w:val="20"/>
        </w:rPr>
        <w:t xml:space="preserve">) определяется исходя из стоимости мероприятий по технологическому присоединению в соответствии с формулой (1):</w:t>
      </w:r>
    </w:p>
    <w:p>
      <w:pPr>
        <w:pStyle w:val="0"/>
        <w:jc w:val="both"/>
      </w:pPr>
      <w:r>
        <w:rPr>
          <w:sz w:val="20"/>
        </w:rPr>
      </w:r>
    </w:p>
    <w:p>
      <w:pPr>
        <w:pStyle w:val="0"/>
        <w:jc w:val="center"/>
      </w:pPr>
      <w:r>
        <w:rPr>
          <w:sz w:val="20"/>
        </w:rPr>
        <w:t xml:space="preserve">P</w:t>
      </w:r>
      <w:r>
        <w:rPr>
          <w:sz w:val="20"/>
          <w:vertAlign w:val="subscript"/>
        </w:rPr>
        <w:t xml:space="preserve">(соц)</w:t>
      </w:r>
      <w:r>
        <w:rPr>
          <w:sz w:val="20"/>
        </w:rPr>
        <w:t xml:space="preserve"> = min{P</w:t>
      </w:r>
      <w:r>
        <w:rPr>
          <w:sz w:val="20"/>
          <w:vertAlign w:val="subscript"/>
        </w:rPr>
        <w:t xml:space="preserve">станд.ст</w:t>
      </w:r>
      <w:r>
        <w:rPr>
          <w:sz w:val="20"/>
        </w:rPr>
        <w:t xml:space="preserve">; p</w:t>
      </w:r>
      <w:r>
        <w:rPr>
          <w:sz w:val="20"/>
          <w:vertAlign w:val="subscript"/>
        </w:rPr>
        <w:t xml:space="preserve">соц</w:t>
      </w:r>
      <w:r>
        <w:rPr>
          <w:sz w:val="20"/>
        </w:rPr>
        <w:t xml:space="preserve"> · N},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станд.ст</w:t>
      </w:r>
      <w:r>
        <w:rPr>
          <w:sz w:val="20"/>
        </w:rP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pPr>
        <w:pStyle w:val="0"/>
        <w:spacing w:before="200" w:line-rule="auto"/>
        <w:ind w:firstLine="540"/>
        <w:jc w:val="both"/>
      </w:pPr>
      <w:r>
        <w:rPr>
          <w:sz w:val="20"/>
        </w:rPr>
        <w:t xml:space="preserve">p</w:t>
      </w:r>
      <w:r>
        <w:rPr>
          <w:sz w:val="20"/>
          <w:vertAlign w:val="subscript"/>
        </w:rPr>
        <w:t xml:space="preserve">соц</w:t>
      </w:r>
      <w:r>
        <w:rPr>
          <w:sz w:val="20"/>
        </w:rP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w:history="0" r:id="rId1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абзацами одиннадцатым</w:t>
        </w:r>
      </w:hyperlink>
      <w:r>
        <w:rPr>
          <w:sz w:val="20"/>
        </w:rPr>
        <w:t xml:space="preserve"> - </w:t>
      </w:r>
      <w:hyperlink w:history="0" r:id="rId2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девятнадцатым пункта 17</w:t>
        </w:r>
      </w:hyperlink>
      <w:r>
        <w:rPr>
          <w:sz w:val="20"/>
        </w:rPr>
        <w:t xml:space="preserve"> Правил технологического присоединения, руб./кВт;</w:t>
      </w:r>
    </w:p>
    <w:p>
      <w:pPr>
        <w:pStyle w:val="0"/>
        <w:spacing w:before="200" w:line-rule="auto"/>
        <w:ind w:firstLine="540"/>
        <w:jc w:val="both"/>
      </w:pPr>
      <w:r>
        <w:rPr>
          <w:sz w:val="20"/>
        </w:rPr>
        <w:t xml:space="preserve">N - запрашиваемая максимальная мощность присоединяемых Устройств, кВт.</w:t>
      </w:r>
    </w:p>
    <w:p>
      <w:pPr>
        <w:pStyle w:val="0"/>
        <w:spacing w:before="200" w:line-rule="auto"/>
        <w:ind w:firstLine="540"/>
        <w:jc w:val="both"/>
      </w:pPr>
      <w:r>
        <w:rPr>
          <w:sz w:val="20"/>
        </w:rPr>
        <w:t xml:space="preserve">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за исключением случаев, предусмотренных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абзацем первым</w:t>
        </w:r>
      </w:hyperlink>
      <w:r>
        <w:rPr>
          <w:sz w:val="20"/>
        </w:rPr>
        <w:t xml:space="preserve"> настоящего пункта, плата за технологическое присоединение энергопринимающих устройств и (или) объектов микрогенерации (P</w:t>
      </w:r>
      <w:r>
        <w:rPr>
          <w:sz w:val="20"/>
          <w:vertAlign w:val="subscript"/>
        </w:rPr>
        <w:t xml:space="preserve">(несоц)</w:t>
      </w:r>
      <w:r>
        <w:rPr>
          <w:sz w:val="20"/>
        </w:rPr>
        <w:t xml:space="preserve">) определяется исходя из стоимости мероприятий по технологическому присоединению в соответствии с формулой (2):</w:t>
      </w:r>
    </w:p>
    <w:p>
      <w:pPr>
        <w:pStyle w:val="0"/>
        <w:jc w:val="both"/>
      </w:pPr>
      <w:r>
        <w:rPr>
          <w:sz w:val="20"/>
        </w:rPr>
      </w:r>
    </w:p>
    <w:p>
      <w:pPr>
        <w:pStyle w:val="0"/>
        <w:jc w:val="center"/>
      </w:pPr>
      <w:r>
        <w:rPr>
          <w:sz w:val="20"/>
        </w:rPr>
        <w:t xml:space="preserve">P</w:t>
      </w:r>
      <w:r>
        <w:rPr>
          <w:sz w:val="20"/>
          <w:vertAlign w:val="subscript"/>
        </w:rPr>
        <w:t xml:space="preserve">(несоц)</w:t>
      </w:r>
      <w:r>
        <w:rPr>
          <w:sz w:val="20"/>
        </w:rPr>
        <w:t xml:space="preserve"> = min{P</w:t>
      </w:r>
      <w:r>
        <w:rPr>
          <w:sz w:val="20"/>
          <w:vertAlign w:val="subscript"/>
        </w:rPr>
        <w:t xml:space="preserve">станд.ст</w:t>
      </w:r>
      <w:r>
        <w:rPr>
          <w:sz w:val="20"/>
        </w:rPr>
        <w:t xml:space="preserve">; p</w:t>
      </w:r>
      <w:r>
        <w:rPr>
          <w:sz w:val="20"/>
          <w:vertAlign w:val="subscript"/>
        </w:rPr>
        <w:t xml:space="preserve">несоц</w:t>
      </w:r>
      <w:r>
        <w:rPr>
          <w:sz w:val="20"/>
        </w:rPr>
        <w:t xml:space="preserve"> · N},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несоц</w:t>
      </w:r>
      <w:r>
        <w:rPr>
          <w:sz w:val="20"/>
        </w:rP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абзаце первом</w:t>
        </w:r>
      </w:hyperlink>
      <w:r>
        <w:rPr>
          <w:sz w:val="20"/>
        </w:rP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
    <w:bookmarkStart w:id="69" w:name="P69"/>
    <w:bookmarkEnd w:id="69"/>
    <w:p>
      <w:pPr>
        <w:pStyle w:val="0"/>
        <w:spacing w:before="200" w:line-rule="auto"/>
        <w:ind w:firstLine="540"/>
        <w:jc w:val="both"/>
      </w:pPr>
      <w:r>
        <w:rPr>
          <w:sz w:val="20"/>
        </w:rPr>
        <w:t xml:space="preserve">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(P</w:t>
      </w:r>
      <w:r>
        <w:rPr>
          <w:sz w:val="20"/>
          <w:vertAlign w:val="subscript"/>
        </w:rPr>
        <w:t xml:space="preserve">ЭПУ до 150+мкг</w:t>
      </w:r>
      <w:r>
        <w:rPr>
          <w:sz w:val="20"/>
        </w:rPr>
        <w:t xml:space="preserve">) определяется по формуле (3):</w:t>
      </w:r>
    </w:p>
    <w:p>
      <w:pPr>
        <w:pStyle w:val="0"/>
        <w:jc w:val="both"/>
      </w:pPr>
      <w:r>
        <w:rPr>
          <w:sz w:val="20"/>
        </w:rPr>
      </w:r>
    </w:p>
    <w:p>
      <w:pPr>
        <w:pStyle w:val="0"/>
        <w:jc w:val="center"/>
      </w:pPr>
      <w:r>
        <w:rPr>
          <w:sz w:val="20"/>
        </w:rPr>
        <w:t xml:space="preserve">P</w:t>
      </w:r>
      <w:r>
        <w:rPr>
          <w:sz w:val="20"/>
          <w:vertAlign w:val="subscript"/>
        </w:rPr>
        <w:t xml:space="preserve">ЭПУ до 150+мкг</w:t>
      </w:r>
      <w:r>
        <w:rPr>
          <w:sz w:val="20"/>
        </w:rPr>
        <w:t xml:space="preserve"> = min{P</w:t>
      </w:r>
      <w:r>
        <w:rPr>
          <w:sz w:val="20"/>
          <w:vertAlign w:val="subscript"/>
        </w:rPr>
        <w:t xml:space="preserve">станд.ст</w:t>
      </w:r>
      <w:r>
        <w:rPr>
          <w:sz w:val="20"/>
        </w:rPr>
        <w:t xml:space="preserve">; p</w:t>
      </w:r>
      <w:r>
        <w:rPr>
          <w:sz w:val="20"/>
          <w:vertAlign w:val="subscript"/>
        </w:rPr>
        <w:t xml:space="preserve">несоц</w:t>
      </w:r>
      <w:r>
        <w:rPr>
          <w:sz w:val="20"/>
        </w:rPr>
        <w:t xml:space="preserve"> · N} +</w:t>
      </w:r>
    </w:p>
    <w:p>
      <w:pPr>
        <w:pStyle w:val="0"/>
        <w:jc w:val="center"/>
      </w:pPr>
      <w:r>
        <w:rPr>
          <w:sz w:val="20"/>
        </w:rPr>
        <w:t xml:space="preserve">+ P</w:t>
      </w:r>
      <w:r>
        <w:rPr>
          <w:sz w:val="20"/>
          <w:vertAlign w:val="subscript"/>
        </w:rPr>
        <w:t xml:space="preserve">ЭПУ до 150</w:t>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ЭПУ до 150</w:t>
      </w:r>
      <w:r>
        <w:rPr>
          <w:sz w:val="20"/>
        </w:rP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определяемая в соответствии с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пунктом 12</w:t>
        </w:r>
      </w:hyperlink>
      <w:r>
        <w:rPr>
          <w:sz w:val="20"/>
        </w:rPr>
        <w:t xml:space="preserve"> Методических указаний, рублей. При технологическом присоединении только объектов микрогенерации P</w:t>
      </w:r>
      <w:r>
        <w:rPr>
          <w:sz w:val="20"/>
          <w:vertAlign w:val="subscript"/>
        </w:rPr>
        <w:t xml:space="preserve">ЭПУ до 150</w:t>
      </w:r>
      <w:r>
        <w:rPr>
          <w:sz w:val="20"/>
        </w:rPr>
        <w:t xml:space="preserve"> приравнивается к нулю.</w:t>
      </w:r>
    </w:p>
    <w:bookmarkStart w:id="76" w:name="P76"/>
    <w:bookmarkEnd w:id="76"/>
    <w:p>
      <w:pPr>
        <w:pStyle w:val="0"/>
        <w:spacing w:before="200" w:line-rule="auto"/>
        <w:ind w:firstLine="540"/>
        <w:jc w:val="both"/>
      </w:pPr>
      <w:r>
        <w:rPr>
          <w:sz w:val="20"/>
        </w:rPr>
        <w:t xml:space="preserve">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 8</w:t>
        </w:r>
      </w:hyperlink>
      <w:r>
        <w:rPr>
          <w:sz w:val="20"/>
        </w:rP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history="0" w:anchor="P69" w:tooltip="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
        <w:r>
          <w:rPr>
            <w:sz w:val="20"/>
            <w:color w:val="0000ff"/>
          </w:rPr>
          <w:t xml:space="preserve">пункте 9</w:t>
        </w:r>
      </w:hyperlink>
      <w:r>
        <w:rPr>
          <w:sz w:val="20"/>
        </w:rPr>
        <w:t xml:space="preserve"> Методических указаний, а также в случаях, предусмотренных </w:t>
      </w:r>
      <w:hyperlink w:history="0" w:anchor="P79" w:tooltip="13. Положения о размере платы за технологическое присоединение, указанные в пунктах 8, 9 и 12 Методических указаний, не могут быть применены в следующих случаях:">
        <w:r>
          <w:rPr>
            <w:sz w:val="20"/>
            <w:color w:val="0000ff"/>
          </w:rPr>
          <w:t xml:space="preserve">пунктом 13</w:t>
        </w:r>
      </w:hyperlink>
      <w:r>
        <w:rPr>
          <w:sz w:val="20"/>
        </w:rPr>
        <w:t xml:space="preserve"> Методических указаний, расчет платы за технологическое присоединение производится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по стандартизированным тарифным ставкам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ставок платы за технологическое присоединение.</w:t>
      </w:r>
    </w:p>
    <w:bookmarkStart w:id="77" w:name="P77"/>
    <w:bookmarkEnd w:id="77"/>
    <w:p>
      <w:pPr>
        <w:pStyle w:val="0"/>
        <w:spacing w:before="200" w:line-rule="auto"/>
        <w:ind w:firstLine="540"/>
        <w:jc w:val="both"/>
      </w:pPr>
      <w:r>
        <w:rPr>
          <w:sz w:val="20"/>
        </w:rPr>
        <w:t xml:space="preserve">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по стандартизированным тарифным ставкам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history="0" w:anchor="P390" w:tooltip="IV. Особенности учета запрашиваемой Заявителем">
        <w:r>
          <w:rPr>
            <w:sz w:val="20"/>
            <w:color w:val="0000ff"/>
          </w:rPr>
          <w:t xml:space="preserve">главы IV</w:t>
        </w:r>
      </w:hyperlink>
      <w:r>
        <w:rPr>
          <w:sz w:val="20"/>
        </w:rPr>
        <w:t xml:space="preserve"> Методических указаний.</w:t>
      </w:r>
    </w:p>
    <w:bookmarkStart w:id="78" w:name="P78"/>
    <w:bookmarkEnd w:id="78"/>
    <w:p>
      <w:pPr>
        <w:pStyle w:val="0"/>
        <w:spacing w:before="200" w:line-rule="auto"/>
        <w:ind w:firstLine="540"/>
        <w:jc w:val="both"/>
      </w:pPr>
      <w:r>
        <w:rPr>
          <w:sz w:val="20"/>
        </w:rPr>
        <w:t xml:space="preserve">12. В отношении энергопринимающих устройств Заявителей, указанных в </w:t>
      </w:r>
      <w:hyperlink w:history="0" r:id="rId2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пункте 12(1)</w:t>
        </w:r>
      </w:hyperlink>
      <w:r>
        <w:rPr>
          <w:sz w:val="20"/>
        </w:rPr>
        <w:t xml:space="preserve">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bookmarkStart w:id="79" w:name="P79"/>
    <w:bookmarkEnd w:id="79"/>
    <w:p>
      <w:pPr>
        <w:pStyle w:val="0"/>
        <w:spacing w:before="200" w:line-rule="auto"/>
        <w:ind w:firstLine="540"/>
        <w:jc w:val="both"/>
      </w:pPr>
      <w:r>
        <w:rPr>
          <w:sz w:val="20"/>
        </w:rPr>
        <w:t xml:space="preserve">13. Положения о размере платы за технологическое присоединение, указанные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пунктах 8</w:t>
        </w:r>
      </w:hyperlink>
      <w:r>
        <w:rPr>
          <w:sz w:val="20"/>
        </w:rPr>
        <w:t xml:space="preserve">, </w:t>
      </w:r>
      <w:hyperlink w:history="0" w:anchor="P69" w:tooltip="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
        <w:r>
          <w:rPr>
            <w:sz w:val="20"/>
            <w:color w:val="0000ff"/>
          </w:rPr>
          <w:t xml:space="preserve">9</w:t>
        </w:r>
      </w:hyperlink>
      <w:r>
        <w:rPr>
          <w:sz w:val="20"/>
        </w:rPr>
        <w:t xml:space="preserve"> и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12</w:t>
        </w:r>
      </w:hyperlink>
      <w:r>
        <w:rPr>
          <w:sz w:val="20"/>
        </w:rPr>
        <w:t xml:space="preserve"> Методических указаний, не могут быть применены в следующих случаях:</w:t>
      </w:r>
    </w:p>
    <w:p>
      <w:pPr>
        <w:pStyle w:val="0"/>
        <w:spacing w:before="200" w:line-rule="auto"/>
        <w:ind w:firstLine="540"/>
        <w:jc w:val="both"/>
      </w:pPr>
      <w:r>
        <w:rPr>
          <w:sz w:val="20"/>
        </w:rPr>
        <w:t xml:space="preserve">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pPr>
        <w:pStyle w:val="0"/>
        <w:spacing w:before="200" w:line-rule="auto"/>
        <w:ind w:firstLine="540"/>
        <w:jc w:val="both"/>
      </w:pPr>
      <w:r>
        <w:rPr>
          <w:sz w:val="20"/>
        </w:rPr>
        <w:t xml:space="preserve">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pPr>
        <w:pStyle w:val="0"/>
        <w:spacing w:before="200" w:line-rule="auto"/>
        <w:ind w:firstLine="540"/>
        <w:jc w:val="both"/>
      </w:pPr>
      <w:r>
        <w:rPr>
          <w:sz w:val="20"/>
        </w:rP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history="0" w:anchor="P55" w:tooltip="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
        <w:r>
          <w:rPr>
            <w:sz w:val="20"/>
            <w:color w:val="0000ff"/>
          </w:rPr>
          <w:t xml:space="preserve">пунктах 8</w:t>
        </w:r>
      </w:hyperlink>
      <w:r>
        <w:rPr>
          <w:sz w:val="20"/>
        </w:rPr>
        <w:t xml:space="preserve"> и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12</w:t>
        </w:r>
      </w:hyperlink>
      <w:r>
        <w:rPr>
          <w:sz w:val="20"/>
        </w:rP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pPr>
        <w:pStyle w:val="0"/>
        <w:spacing w:before="200" w:line-rule="auto"/>
        <w:ind w:firstLine="540"/>
        <w:jc w:val="both"/>
      </w:pPr>
      <w:r>
        <w:rPr>
          <w:sz w:val="20"/>
        </w:rPr>
        <w:t xml:space="preserve">г) при технологическом присоединении энергопринимающих устройств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предусматривающий установленные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пунктом 12</w:t>
        </w:r>
      </w:hyperlink>
      <w:r>
        <w:rPr>
          <w:sz w:val="20"/>
        </w:rP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pPr>
        <w:pStyle w:val="0"/>
        <w:spacing w:before="200" w:line-rule="auto"/>
        <w:ind w:firstLine="540"/>
        <w:jc w:val="both"/>
      </w:pPr>
      <w:r>
        <w:rPr>
          <w:sz w:val="20"/>
        </w:rPr>
        <w:t xml:space="preserve">14. Стандартизированные тарифные ставки на период регулирования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и по мероприятиям, указанным в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подпункте "б" пункта 16</w:t>
        </w:r>
      </w:hyperlink>
      <w:r>
        <w:rPr>
          <w:sz w:val="20"/>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 на основании представленных территориальными сетевыми организациями в соответствии с </w:t>
      </w:r>
      <w:hyperlink w:history="0" r:id="rId22"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(Собрание законодательства Российской Федерации, 2012, N 4, ст. 504; 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
    <w:p>
      <w:pPr>
        <w:pStyle w:val="0"/>
        <w:spacing w:before="200" w:line-rule="auto"/>
        <w:ind w:firstLine="540"/>
        <w:jc w:val="both"/>
      </w:pPr>
      <w:r>
        <w:rPr>
          <w:sz w:val="20"/>
        </w:rPr>
        <w:t xml:space="preserve">15.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w:history="0" r:id="rId23"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за три предыдущих года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pPr>
        <w:pStyle w:val="0"/>
        <w:spacing w:before="200" w:line-rule="auto"/>
        <w:ind w:firstLine="540"/>
        <w:jc w:val="both"/>
      </w:pPr>
      <w:r>
        <w:rPr>
          <w:sz w:val="20"/>
        </w:rPr>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bookmarkStart w:id="88" w:name="P88"/>
    <w:bookmarkEnd w:id="88"/>
    <w:p>
      <w:pPr>
        <w:pStyle w:val="0"/>
        <w:spacing w:before="200" w:line-rule="auto"/>
        <w:ind w:firstLine="540"/>
        <w:jc w:val="both"/>
      </w:pPr>
      <w:r>
        <w:rPr>
          <w:sz w:val="20"/>
        </w:rPr>
        <w:t xml:space="preserve">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bookmarkStart w:id="89" w:name="P89"/>
    <w:bookmarkEnd w:id="89"/>
    <w:p>
      <w:pPr>
        <w:pStyle w:val="0"/>
        <w:spacing w:before="200" w:line-rule="auto"/>
        <w:ind w:firstLine="540"/>
        <w:jc w:val="both"/>
      </w:pPr>
      <w:r>
        <w:rPr>
          <w:sz w:val="20"/>
        </w:rPr>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bookmarkStart w:id="90" w:name="P90"/>
    <w:bookmarkEnd w:id="90"/>
    <w:p>
      <w:pPr>
        <w:pStyle w:val="0"/>
        <w:spacing w:before="200" w:line-rule="auto"/>
        <w:ind w:firstLine="540"/>
        <w:jc w:val="both"/>
      </w:pPr>
      <w:r>
        <w:rPr>
          <w:sz w:val="20"/>
        </w:rPr>
        <w:t xml:space="preserve">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bookmarkStart w:id="91" w:name="P91"/>
    <w:bookmarkEnd w:id="91"/>
    <w:p>
      <w:pPr>
        <w:pStyle w:val="0"/>
        <w:spacing w:before="200" w:line-rule="auto"/>
        <w:ind w:firstLine="540"/>
        <w:jc w:val="both"/>
      </w:pPr>
      <w:r>
        <w:rPr>
          <w:sz w:val="20"/>
        </w:rPr>
        <w:t xml:space="preserve">в) проверку сетевой организацией выполнения Заявителем технических условий в соответствии с </w:t>
      </w:r>
      <w:hyperlink w:history="0" r:id="rId2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w:t>
      </w:r>
      <w:hyperlink w:history="0" r:id="rId2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2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13(2)</w:t>
        </w:r>
      </w:hyperlink>
      <w:r>
        <w:rPr>
          <w:sz w:val="20"/>
        </w:rPr>
        <w:t xml:space="preserve"> - </w:t>
      </w:r>
      <w:hyperlink w:history="0" r:id="rId2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13(5)</w:t>
        </w:r>
      </w:hyperlink>
      <w:r>
        <w:rPr>
          <w:sz w:val="20"/>
        </w:rPr>
        <w:t xml:space="preserve"> и </w:t>
      </w:r>
      <w:hyperlink w:history="0" r:id="rId2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(Собрание законодательства Российской Федерации, 2004, N 52, ст. 5525; 2014, N 1, ст. 689), если технологическое присоединение энергопринимающих устройств таких заявителей осуществляется на уровне напряжения 0,4 кВ и ниже).</w:t>
      </w:r>
    </w:p>
    <w:p>
      <w:pPr>
        <w:pStyle w:val="0"/>
        <w:spacing w:before="200" w:line-rule="auto"/>
        <w:ind w:firstLine="540"/>
        <w:jc w:val="both"/>
      </w:pPr>
      <w:r>
        <w:rPr>
          <w:sz w:val="20"/>
        </w:rPr>
        <w:t xml:space="preserve">17. При установлении платы за технологическое присоединение по индивидуальному проекту 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w:history="0" r:id="rId29"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абзацу седьмому пункта 32</w:t>
        </w:r>
      </w:hyperlink>
      <w:r>
        <w:rPr>
          <w:sz w:val="20"/>
        </w:rPr>
        <w:t xml:space="preserve"> и </w:t>
      </w:r>
      <w:hyperlink w:history="0" r:id="rId3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абзацу двенадцатому пункта 87</w:t>
        </w:r>
      </w:hyperlink>
      <w:r>
        <w:rPr>
          <w:sz w:val="20"/>
        </w:rPr>
        <w:t xml:space="preserve"> Основ ценообразования (Собрание законодательства Российской Федерации, 2012, N 4, ст. 504; 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
    <w:p>
      <w:pPr>
        <w:pStyle w:val="0"/>
        <w:spacing w:before="200" w:line-rule="auto"/>
        <w:ind w:firstLine="540"/>
        <w:jc w:val="both"/>
      </w:pPr>
      <w:r>
        <w:rPr>
          <w:sz w:val="20"/>
        </w:rPr>
        <w:t xml:space="preserve">В указанную плату включаются:</w:t>
      </w:r>
    </w:p>
    <w:p>
      <w:pPr>
        <w:pStyle w:val="0"/>
        <w:spacing w:before="200" w:line-rule="auto"/>
        <w:ind w:firstLine="540"/>
        <w:jc w:val="both"/>
      </w:pPr>
      <w:r>
        <w:rPr>
          <w:sz w:val="20"/>
        </w:rPr>
        <w:t xml:space="preserve">- стоимость мероприятий, перечисленных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w:t>
      </w:r>
    </w:p>
    <w:bookmarkStart w:id="95" w:name="P95"/>
    <w:bookmarkEnd w:id="95"/>
    <w:p>
      <w:pPr>
        <w:pStyle w:val="0"/>
        <w:spacing w:before="200" w:line-rule="auto"/>
        <w:ind w:firstLine="540"/>
        <w:jc w:val="both"/>
      </w:pPr>
      <w:r>
        <w:rPr>
          <w:sz w:val="20"/>
        </w:rPr>
        <w:t xml:space="preserve">- стоимость конкретных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bookmarkStart w:id="96" w:name="P96"/>
    <w:bookmarkEnd w:id="96"/>
    <w:p>
      <w:pPr>
        <w:pStyle w:val="0"/>
        <w:spacing w:before="200" w:line-rule="auto"/>
        <w:ind w:firstLine="540"/>
        <w:jc w:val="both"/>
      </w:pPr>
      <w:r>
        <w:rPr>
          <w:sz w:val="20"/>
        </w:rP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 </w:t>
      </w:r>
      <w:hyperlink w:history="0" w:anchor="P95" w:tooltip="- стоимость конкретных мероприятий, предусмотренных подпунктом &quot;б&quot;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
        <w:r>
          <w:rPr>
            <w:sz w:val="20"/>
            <w:color w:val="0000ff"/>
          </w:rPr>
          <w:t xml:space="preserve">абзацем четвертым</w:t>
        </w:r>
      </w:hyperlink>
      <w:r>
        <w:rPr>
          <w:sz w:val="20"/>
        </w:rP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w:history="0" r:id="rId31"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history="0" w:anchor="P1013" w:tooltip="ПЕРЕЧЕНЬ СТАНДАРТИЗИРОВАННЫХ ТАРИФНЫХ СТАВОК">
        <w:r>
          <w:rPr>
            <w:sz w:val="20"/>
            <w:color w:val="0000ff"/>
          </w:rPr>
          <w:t xml:space="preserve">приложением N 5</w:t>
        </w:r>
      </w:hyperlink>
      <w:r>
        <w:rPr>
          <w:sz w:val="20"/>
        </w:rPr>
        <w:t xml:space="preserve"> к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
    <w:p>
      <w:pPr>
        <w:pStyle w:val="0"/>
        <w:spacing w:before="200" w:line-rule="auto"/>
        <w:ind w:firstLine="540"/>
        <w:jc w:val="both"/>
      </w:pPr>
      <w:r>
        <w:rPr>
          <w:sz w:val="20"/>
        </w:rPr>
        <w:t xml:space="preserve">18. В решении об установлении платы за технологическое присоединение по индивидуальному проекту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pPr>
        <w:pStyle w:val="0"/>
        <w:spacing w:before="200" w:line-rule="auto"/>
        <w:ind w:firstLine="540"/>
        <w:jc w:val="both"/>
      </w:pPr>
      <w:r>
        <w:rPr>
          <w:sz w:val="20"/>
        </w:rPr>
        <w:t xml:space="preserve">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pPr>
        <w:pStyle w:val="0"/>
        <w:spacing w:before="200" w:line-rule="auto"/>
        <w:ind w:firstLine="540"/>
        <w:jc w:val="both"/>
      </w:pPr>
      <w:r>
        <w:rPr>
          <w:sz w:val="20"/>
        </w:rPr>
        <w:t xml:space="preserve">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pPr>
        <w:pStyle w:val="0"/>
        <w:spacing w:before="200" w:line-rule="auto"/>
        <w:ind w:firstLine="540"/>
        <w:jc w:val="both"/>
      </w:pPr>
      <w:r>
        <w:rPr>
          <w:sz w:val="20"/>
        </w:rPr>
        <w:t xml:space="preserve">При этом стоимость информации, предусмотренной </w:t>
      </w:r>
      <w:hyperlink w:history="0" r:id="rId3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36</w:t>
        </w:r>
      </w:hyperlink>
      <w:r>
        <w:rPr>
          <w:sz w:val="20"/>
        </w:rP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pPr>
        <w:pStyle w:val="0"/>
        <w:spacing w:before="200" w:line-rule="auto"/>
        <w:ind w:firstLine="540"/>
        <w:jc w:val="both"/>
      </w:pPr>
      <w:r>
        <w:rPr>
          <w:sz w:val="20"/>
        </w:rP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sz w:val="20"/>
          <w:vertAlign w:val="subscript"/>
        </w:rPr>
        <w:t xml:space="preserve">1</w:t>
      </w:r>
      <w:r>
        <w:rPr>
          <w:sz w:val="20"/>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pPr>
        <w:pStyle w:val="0"/>
        <w:spacing w:before="200" w:line-rule="auto"/>
        <w:ind w:firstLine="540"/>
        <w:jc w:val="both"/>
      </w:pPr>
      <w:r>
        <w:rPr>
          <w:sz w:val="20"/>
        </w:rPr>
        <w:t xml:space="preserve">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pPr>
        <w:pStyle w:val="0"/>
        <w:spacing w:before="200" w:line-rule="auto"/>
        <w:ind w:firstLine="540"/>
        <w:jc w:val="both"/>
      </w:pPr>
      <w:r>
        <w:rPr>
          <w:sz w:val="20"/>
        </w:rPr>
        <w:t xml:space="preserve">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pPr>
        <w:pStyle w:val="0"/>
        <w:jc w:val="both"/>
      </w:pPr>
      <w:r>
        <w:rPr>
          <w:sz w:val="20"/>
        </w:rPr>
      </w:r>
    </w:p>
    <w:p>
      <w:pPr>
        <w:pStyle w:val="0"/>
        <w:jc w:val="center"/>
      </w:pPr>
      <w:r>
        <w:rPr>
          <w:position w:val="-5"/>
        </w:rPr>
        <w:drawing>
          <wp:inline distT="0" distB="0" distL="0" distR="0">
            <wp:extent cx="11525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200025"/>
                    </a:xfrm>
                    <a:prstGeom prst="rect">
                      <a:avLst/>
                    </a:prstGeom>
                    <a:noFill/>
                    <a:ln>
                      <a:noFill/>
                    </a:ln>
                  </pic:spPr>
                </pic:pic>
              </a:graphicData>
            </a:graphic>
          </wp:inline>
        </w:drawing>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110 кВ и выше;</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от 6 до 110 кВ;</w:t>
      </w:r>
    </w:p>
    <w:p>
      <w:pPr>
        <w:pStyle w:val="0"/>
        <w:spacing w:before="200" w:line-rule="auto"/>
        <w:ind w:firstLine="540"/>
        <w:jc w:val="both"/>
      </w:pPr>
      <w:r>
        <w:rPr>
          <w:position w:val="-5"/>
        </w:rPr>
        <w:drawing>
          <wp:inline distT="0" distB="0" distL="0" distR="0">
            <wp:extent cx="7905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Pr>
          <w:sz w:val="20"/>
        </w:rPr>
        <w:t xml:space="preserve"> для точек присоединения на уровне напряжения менее 6 кВ.</w:t>
      </w:r>
    </w:p>
    <w:bookmarkStart w:id="111" w:name="P111"/>
    <w:bookmarkEnd w:id="111"/>
    <w:p>
      <w:pPr>
        <w:pStyle w:val="0"/>
        <w:spacing w:before="200" w:line-rule="auto"/>
        <w:ind w:firstLine="540"/>
        <w:jc w:val="both"/>
      </w:pPr>
      <w:r>
        <w:rPr>
          <w:sz w:val="20"/>
        </w:rPr>
        <w:t xml:space="preserve">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w:t>
      </w:r>
    </w:p>
    <w:p>
      <w:pPr>
        <w:pStyle w:val="0"/>
        <w:spacing w:before="200" w:line-rule="auto"/>
        <w:ind w:firstLine="540"/>
        <w:jc w:val="both"/>
      </w:pPr>
      <w:r>
        <w:rPr>
          <w:sz w:val="20"/>
        </w:rPr>
        <w:t xml:space="preserve">Стандартизированная тарифная ставка С</w:t>
      </w:r>
      <w:r>
        <w:rPr>
          <w:sz w:val="20"/>
          <w:vertAlign w:val="subscript"/>
        </w:rPr>
        <w:t xml:space="preserve">1</w:t>
      </w:r>
      <w:r>
        <w:rPr>
          <w:sz w:val="20"/>
        </w:rP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pPr>
        <w:pStyle w:val="0"/>
        <w:spacing w:before="200" w:line-rule="auto"/>
        <w:ind w:firstLine="540"/>
        <w:jc w:val="both"/>
      </w:pPr>
      <w:r>
        <w:rPr>
          <w:sz w:val="20"/>
        </w:rPr>
        <w:t xml:space="preserve">- Подготовка и выдача сетевой организацией технических условий Заявителю;</w:t>
      </w:r>
    </w:p>
    <w:p>
      <w:pPr>
        <w:pStyle w:val="0"/>
        <w:spacing w:before="200" w:line-rule="auto"/>
        <w:ind w:firstLine="540"/>
        <w:jc w:val="both"/>
      </w:pPr>
      <w:r>
        <w:rPr>
          <w:sz w:val="20"/>
        </w:rPr>
        <w:t xml:space="preserve">- Проверка сетевой организацией выполнения Заявителем технических условий (включая процедуры, предусмотренные </w:t>
      </w:r>
      <w:hyperlink w:history="0" r:id="rId3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подпунктами "г"</w:t>
        </w:r>
      </w:hyperlink>
      <w:r>
        <w:rPr>
          <w:sz w:val="20"/>
        </w:rPr>
        <w:t xml:space="preserve"> - </w:t>
      </w:r>
      <w:hyperlink w:history="0" r:id="rId3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"е" пункта 7</w:t>
        </w:r>
      </w:hyperlink>
      <w:r>
        <w:rPr>
          <w:sz w:val="20"/>
        </w:rPr>
        <w:t xml:space="preserve"> Правил технологического присоединения (Собрание законодательства Российской Федерации, 2004, N 52, ст. 5525; 2022, N 27, ст. 4863).</w:t>
      </w:r>
    </w:p>
    <w:p>
      <w:pPr>
        <w:pStyle w:val="0"/>
        <w:spacing w:before="200" w:line-rule="auto"/>
        <w:ind w:firstLine="540"/>
        <w:jc w:val="both"/>
      </w:pPr>
      <w:r>
        <w:rPr>
          <w:sz w:val="20"/>
        </w:rPr>
        <w:t xml:space="preserve">Стандартизированные тарифные ставки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С</w:t>
      </w:r>
      <w:r>
        <w:rPr>
          <w:sz w:val="20"/>
          <w:vertAlign w:val="subscript"/>
        </w:rPr>
        <w:t xml:space="preserve">8</w:t>
      </w:r>
      <w:r>
        <w:rPr>
          <w:sz w:val="20"/>
        </w:rP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w:t>
      </w:r>
    </w:p>
    <w:p>
      <w:pPr>
        <w:pStyle w:val="0"/>
        <w:spacing w:before="200" w:line-rule="auto"/>
        <w:ind w:firstLine="540"/>
        <w:jc w:val="both"/>
      </w:pPr>
      <w:r>
        <w:rPr>
          <w:sz w:val="20"/>
        </w:rPr>
        <w:t xml:space="preserve">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r>
    </w:p>
    <w:bookmarkStart w:id="118" w:name="P118"/>
    <w:bookmarkEnd w:id="118"/>
    <w:p>
      <w:pPr>
        <w:pStyle w:val="2"/>
        <w:outlineLvl w:val="1"/>
        <w:jc w:val="center"/>
      </w:pPr>
      <w:r>
        <w:rPr>
          <w:sz w:val="20"/>
        </w:rPr>
        <w:t xml:space="preserve">II. Расчет платы за технологическое присоединение</w:t>
      </w:r>
    </w:p>
    <w:p>
      <w:pPr>
        <w:pStyle w:val="2"/>
        <w:jc w:val="center"/>
      </w:pPr>
      <w:r>
        <w:rPr>
          <w:sz w:val="20"/>
        </w:rPr>
        <w:t xml:space="preserve">посредством применения стандартизированных тарифных ставок</w:t>
      </w:r>
    </w:p>
    <w:p>
      <w:pPr>
        <w:pStyle w:val="2"/>
        <w:jc w:val="center"/>
      </w:pPr>
      <w:r>
        <w:rPr>
          <w:sz w:val="20"/>
        </w:rPr>
        <w:t xml:space="preserve">и посредством применения формулы</w:t>
      </w:r>
    </w:p>
    <w:p>
      <w:pPr>
        <w:pStyle w:val="0"/>
        <w:jc w:val="both"/>
      </w:pPr>
      <w:r>
        <w:rPr>
          <w:sz w:val="20"/>
        </w:rPr>
      </w:r>
    </w:p>
    <w:p>
      <w:pPr>
        <w:pStyle w:val="0"/>
        <w:ind w:firstLine="540"/>
        <w:jc w:val="both"/>
      </w:pPr>
      <w:r>
        <w:rPr>
          <w:sz w:val="20"/>
        </w:rP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w:history="0" r:id="rId39"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абзацем двенадцатым пункта 87</w:t>
        </w:r>
      </w:hyperlink>
      <w:r>
        <w:rPr>
          <w:sz w:val="20"/>
        </w:rPr>
        <w:t xml:space="preserve"> Основ ценообразования отдельно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Сведения о расходах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предоставляются за три последних года, по которым имеются отчетные данные. Рекомендуемый образец информации по расходам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приведен в </w:t>
      </w:r>
      <w:hyperlink w:history="0" w:anchor="P732" w:tooltip="Расходы">
        <w:r>
          <w:rPr>
            <w:sz w:val="20"/>
            <w:color w:val="0000ff"/>
          </w:rPr>
          <w:t xml:space="preserve">приложении N 2</w:t>
        </w:r>
      </w:hyperlink>
      <w:r>
        <w:rPr>
          <w:sz w:val="20"/>
        </w:rPr>
        <w:t xml:space="preserve"> к Методическим указаниям).</w:t>
      </w:r>
    </w:p>
    <w:p>
      <w:pPr>
        <w:pStyle w:val="0"/>
        <w:spacing w:before="200" w:line-rule="auto"/>
        <w:ind w:firstLine="540"/>
        <w:jc w:val="both"/>
      </w:pPr>
      <w:r>
        <w:rPr>
          <w:sz w:val="20"/>
        </w:rPr>
        <w:t xml:space="preserve">Расходы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определяются в соответствии с данными раздельного учета сетевой организации.</w:t>
      </w:r>
    </w:p>
    <w:p>
      <w:pPr>
        <w:pStyle w:val="0"/>
        <w:spacing w:before="200" w:line-rule="auto"/>
        <w:ind w:firstLine="540"/>
        <w:jc w:val="both"/>
      </w:pPr>
      <w:r>
        <w:rPr>
          <w:sz w:val="20"/>
        </w:rP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w:t>
      </w:r>
    </w:p>
    <w:p>
      <w:pPr>
        <w:pStyle w:val="0"/>
        <w:spacing w:before="200" w:line-rule="auto"/>
        <w:ind w:firstLine="540"/>
        <w:jc w:val="both"/>
      </w:pPr>
      <w:r>
        <w:rPr>
          <w:sz w:val="20"/>
        </w:rPr>
        <w:t xml:space="preserve">С</w:t>
      </w:r>
      <w:r>
        <w:rPr>
          <w:sz w:val="20"/>
          <w:vertAlign w:val="subscript"/>
        </w:rPr>
        <w:t xml:space="preserve">1</w:t>
      </w:r>
      <w:r>
        <w:rPr>
          <w:sz w:val="20"/>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(руб. за одно присоединение).</w:t>
      </w:r>
    </w:p>
    <w:p>
      <w:pPr>
        <w:pStyle w:val="0"/>
        <w:spacing w:before="200" w:line-rule="auto"/>
        <w:ind w:firstLine="540"/>
        <w:jc w:val="both"/>
      </w:pPr>
      <w:r>
        <w:rPr>
          <w:sz w:val="20"/>
        </w:rPr>
        <w:t xml:space="preserve">С</w:t>
      </w:r>
      <w:r>
        <w:rPr>
          <w:sz w:val="20"/>
          <w:vertAlign w:val="subscript"/>
        </w:rPr>
        <w:t xml:space="preserve">1</w:t>
      </w:r>
      <w:r>
        <w:rPr>
          <w:sz w:val="20"/>
        </w:rPr>
        <w:t xml:space="preserve"> определяется итоговой суммой, а также в разбивке по следующим ставкам (руб. за одно присоединение):</w:t>
      </w:r>
    </w:p>
    <w:p>
      <w:pPr>
        <w:pStyle w:val="0"/>
        <w:spacing w:before="200" w:line-rule="auto"/>
        <w:ind w:firstLine="540"/>
        <w:jc w:val="both"/>
      </w:pPr>
      <w:r>
        <w:rPr>
          <w:sz w:val="20"/>
        </w:rPr>
        <w:t xml:space="preserve">С</w:t>
      </w:r>
      <w:r>
        <w:rPr>
          <w:sz w:val="20"/>
          <w:vertAlign w:val="subscript"/>
        </w:rPr>
        <w:t xml:space="preserve">1.1</w:t>
      </w:r>
      <w:r>
        <w:rPr>
          <w:sz w:val="20"/>
        </w:rPr>
        <w:t xml:space="preserve"> - подготовка и выдача сетевой организацией технических условий Заявителю (ТУ);</w:t>
      </w:r>
    </w:p>
    <w:p>
      <w:pPr>
        <w:pStyle w:val="0"/>
        <w:spacing w:before="200" w:line-rule="auto"/>
        <w:ind w:firstLine="540"/>
        <w:jc w:val="both"/>
      </w:pPr>
      <w:r>
        <w:rPr>
          <w:sz w:val="20"/>
        </w:rPr>
        <w:t xml:space="preserve">С</w:t>
      </w:r>
      <w:r>
        <w:rPr>
          <w:sz w:val="20"/>
          <w:vertAlign w:val="subscript"/>
        </w:rPr>
        <w:t xml:space="preserve">1.2</w:t>
      </w:r>
      <w:r>
        <w:rPr>
          <w:sz w:val="20"/>
        </w:rPr>
        <w:t xml:space="preserve"> - проверка сетевой организацией выполнения Заявителем технических условий, утверждаемой со следующей дифференциацией:</w:t>
      </w:r>
    </w:p>
    <w:bookmarkStart w:id="130" w:name="P130"/>
    <w:bookmarkEnd w:id="130"/>
    <w:p>
      <w:pPr>
        <w:pStyle w:val="0"/>
        <w:spacing w:before="200" w:line-rule="auto"/>
        <w:ind w:firstLine="540"/>
        <w:jc w:val="both"/>
      </w:pPr>
      <w:r>
        <w:rPr>
          <w:sz w:val="20"/>
        </w:rPr>
        <w:t xml:space="preserve">С</w:t>
      </w:r>
      <w:r>
        <w:rPr>
          <w:sz w:val="20"/>
          <w:vertAlign w:val="subscript"/>
        </w:rPr>
        <w:t xml:space="preserve">1.2.1</w:t>
      </w:r>
      <w:r>
        <w:rPr>
          <w:sz w:val="20"/>
        </w:rPr>
        <w:t xml:space="preserve"> - для случаев технологического присоединения объектов Заявителей, указанных в </w:t>
      </w:r>
      <w:hyperlink w:history="0" r:id="rId4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4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13(2)</w:t>
        </w:r>
      </w:hyperlink>
      <w:r>
        <w:rPr>
          <w:sz w:val="20"/>
        </w:rPr>
        <w:t xml:space="preserve"> - </w:t>
      </w:r>
      <w:hyperlink w:history="0" r:id="rId4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13(5)</w:t>
        </w:r>
      </w:hyperlink>
      <w:r>
        <w:rPr>
          <w:sz w:val="20"/>
        </w:rPr>
        <w:t xml:space="preserve"> и </w:t>
      </w:r>
      <w:hyperlink w:history="0" r:id="rId4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bookmarkStart w:id="131" w:name="P131"/>
    <w:bookmarkEnd w:id="131"/>
    <w:p>
      <w:pPr>
        <w:pStyle w:val="0"/>
        <w:spacing w:before="200" w:line-rule="auto"/>
        <w:ind w:firstLine="540"/>
        <w:jc w:val="both"/>
      </w:pPr>
      <w:r>
        <w:rPr>
          <w:sz w:val="20"/>
        </w:rPr>
        <w:t xml:space="preserve">С</w:t>
      </w:r>
      <w:r>
        <w:rPr>
          <w:sz w:val="20"/>
          <w:vertAlign w:val="subscript"/>
        </w:rPr>
        <w:t xml:space="preserve">1.2.2</w:t>
      </w:r>
      <w:r>
        <w:rPr>
          <w:sz w:val="20"/>
        </w:rPr>
        <w:t xml:space="preserve"> - для случаев технологического присоединения объектов Заявителей, не предусмотренных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абзацем шестым</w:t>
        </w:r>
      </w:hyperlink>
      <w:r>
        <w:rPr>
          <w:sz w:val="20"/>
        </w:rPr>
        <w:t xml:space="preserve"> настоящего пункта;</w:t>
      </w:r>
    </w:p>
    <w:p>
      <w:pPr>
        <w:pStyle w:val="0"/>
        <w:spacing w:before="200" w:line-rule="auto"/>
        <w:ind w:firstLine="540"/>
        <w:jc w:val="both"/>
      </w:pPr>
      <w:r>
        <w:rPr>
          <w:sz w:val="20"/>
        </w:rPr>
        <w:t xml:space="preserve">С</w:t>
      </w:r>
      <w:r>
        <w:rPr>
          <w:sz w:val="20"/>
          <w:vertAlign w:val="subscript"/>
        </w:rPr>
        <w:t xml:space="preserve">2,i</w:t>
      </w:r>
      <w:r>
        <w:rPr>
          <w:sz w:val="20"/>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pPr>
        <w:pStyle w:val="0"/>
        <w:spacing w:before="200" w:line-rule="auto"/>
        <w:ind w:firstLine="540"/>
        <w:jc w:val="both"/>
      </w:pPr>
      <w:r>
        <w:rPr>
          <w:sz w:val="20"/>
        </w:rPr>
        <w:t xml:space="preserve">С</w:t>
      </w:r>
      <w:r>
        <w:rPr>
          <w:sz w:val="20"/>
          <w:vertAlign w:val="subscript"/>
        </w:rPr>
        <w:t xml:space="preserve">3,i</w:t>
      </w:r>
      <w:r>
        <w:rPr>
          <w:sz w:val="20"/>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pPr>
        <w:pStyle w:val="0"/>
        <w:spacing w:before="200" w:line-rule="auto"/>
        <w:ind w:firstLine="540"/>
        <w:jc w:val="both"/>
      </w:pPr>
      <w:r>
        <w:rPr>
          <w:sz w:val="20"/>
        </w:rPr>
        <w:t xml:space="preserve">С</w:t>
      </w:r>
      <w:r>
        <w:rPr>
          <w:sz w:val="20"/>
          <w:vertAlign w:val="subscript"/>
        </w:rPr>
        <w:t xml:space="preserve">4,i</w:t>
      </w:r>
      <w:r>
        <w:rPr>
          <w:sz w:val="20"/>
        </w:rP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pPr>
        <w:pStyle w:val="0"/>
        <w:spacing w:before="200" w:line-rule="auto"/>
        <w:ind w:firstLine="540"/>
        <w:jc w:val="both"/>
      </w:pPr>
      <w:r>
        <w:rPr>
          <w:sz w:val="20"/>
        </w:rPr>
        <w:t xml:space="preserve">С</w:t>
      </w:r>
      <w:r>
        <w:rPr>
          <w:sz w:val="20"/>
          <w:vertAlign w:val="subscript"/>
        </w:rPr>
        <w:t xml:space="preserve">5,i</w:t>
      </w:r>
      <w:r>
        <w:rPr>
          <w:sz w:val="20"/>
        </w:rP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pPr>
        <w:pStyle w:val="0"/>
        <w:spacing w:before="200" w:line-rule="auto"/>
        <w:ind w:firstLine="540"/>
        <w:jc w:val="both"/>
      </w:pPr>
      <w:r>
        <w:rPr>
          <w:sz w:val="20"/>
        </w:rPr>
        <w:t xml:space="preserve">С</w:t>
      </w:r>
      <w:r>
        <w:rPr>
          <w:sz w:val="20"/>
          <w:vertAlign w:val="subscript"/>
        </w:rPr>
        <w:t xml:space="preserve">6,i</w:t>
      </w:r>
      <w:r>
        <w:rPr>
          <w:sz w:val="20"/>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pPr>
        <w:pStyle w:val="0"/>
        <w:spacing w:before="200" w:line-rule="auto"/>
        <w:ind w:firstLine="540"/>
        <w:jc w:val="both"/>
      </w:pPr>
      <w:r>
        <w:rPr>
          <w:sz w:val="20"/>
        </w:rPr>
        <w:t xml:space="preserve">С</w:t>
      </w:r>
      <w:r>
        <w:rPr>
          <w:sz w:val="20"/>
          <w:vertAlign w:val="subscript"/>
        </w:rPr>
        <w:t xml:space="preserve">7,i</w:t>
      </w:r>
      <w:r>
        <w:rPr>
          <w:sz w:val="20"/>
        </w:rP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pPr>
        <w:pStyle w:val="0"/>
        <w:spacing w:before="200" w:line-rule="auto"/>
        <w:ind w:firstLine="540"/>
        <w:jc w:val="both"/>
      </w:pPr>
      <w:r>
        <w:rPr>
          <w:sz w:val="20"/>
        </w:rPr>
        <w:t xml:space="preserve">С</w:t>
      </w:r>
      <w:r>
        <w:rPr>
          <w:sz w:val="20"/>
          <w:vertAlign w:val="subscript"/>
        </w:rPr>
        <w:t xml:space="preserve">8,i</w:t>
      </w:r>
      <w:r>
        <w:rPr>
          <w:sz w:val="20"/>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pPr>
        <w:pStyle w:val="0"/>
        <w:spacing w:before="200" w:line-rule="auto"/>
        <w:ind w:firstLine="540"/>
        <w:jc w:val="both"/>
      </w:pPr>
      <w:r>
        <w:rPr>
          <w:sz w:val="20"/>
        </w:rPr>
        <w:t xml:space="preserve">25. Стандартизированная тарифная ставка С</w:t>
      </w:r>
      <w:r>
        <w:rPr>
          <w:sz w:val="20"/>
          <w:vertAlign w:val="subscript"/>
        </w:rPr>
        <w:t xml:space="preserve">1</w:t>
      </w:r>
      <w:r>
        <w:rPr>
          <w:sz w:val="20"/>
        </w:rPr>
        <w:t xml:space="preserve"> рассчитывается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в разбивке по мероприятиям в соответствии с </w:t>
      </w:r>
      <w:hyperlink w:history="0" w:anchor="P111" w:tooltip="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
        <w:r>
          <w:rPr>
            <w:sz w:val="20"/>
            <w:color w:val="0000ff"/>
          </w:rPr>
          <w:t xml:space="preserve">пунктом 22</w:t>
        </w:r>
      </w:hyperlink>
      <w:r>
        <w:rPr>
          <w:sz w:val="20"/>
        </w:rPr>
        <w:t xml:space="preserve"> Методических указаний.</w:t>
      </w:r>
    </w:p>
    <w:p>
      <w:pPr>
        <w:pStyle w:val="0"/>
        <w:spacing w:before="200" w:line-rule="auto"/>
        <w:ind w:firstLine="540"/>
        <w:jc w:val="both"/>
      </w:pPr>
      <w:r>
        <w:rPr>
          <w:sz w:val="20"/>
        </w:rP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приведен в </w:t>
      </w:r>
      <w:hyperlink w:history="0" w:anchor="P920" w:tooltip="Результаты">
        <w:r>
          <w:rPr>
            <w:sz w:val="20"/>
            <w:color w:val="0000ff"/>
          </w:rPr>
          <w:t xml:space="preserve">приложении N 4</w:t>
        </w:r>
      </w:hyperlink>
      <w:r>
        <w:rPr>
          <w:sz w:val="20"/>
        </w:rPr>
        <w:t xml:space="preserve"> к Методическим указаниям.</w:t>
      </w:r>
    </w:p>
    <w:p>
      <w:pPr>
        <w:pStyle w:val="0"/>
        <w:spacing w:before="200" w:line-rule="auto"/>
        <w:ind w:firstLine="540"/>
        <w:jc w:val="both"/>
      </w:pPr>
      <w:r>
        <w:rPr>
          <w:sz w:val="20"/>
        </w:rP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pPr>
        <w:pStyle w:val="0"/>
        <w:jc w:val="both"/>
      </w:pPr>
      <w:r>
        <w:rPr>
          <w:sz w:val="20"/>
        </w:rPr>
      </w:r>
    </w:p>
    <w:p>
      <w:pPr>
        <w:pStyle w:val="0"/>
        <w:jc w:val="center"/>
      </w:pPr>
      <w:r>
        <w:rPr>
          <w:position w:val="-8"/>
        </w:rPr>
        <w:drawing>
          <wp:inline distT="0" distB="0" distL="0" distR="0">
            <wp:extent cx="1181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Pr>
          <w:sz w:val="20"/>
        </w:rPr>
        <w:t xml:space="preserve">, (5),</w:t>
      </w:r>
    </w:p>
    <w:p>
      <w:pPr>
        <w:pStyle w:val="0"/>
        <w:jc w:val="both"/>
      </w:pPr>
      <w:r>
        <w:rPr>
          <w:sz w:val="20"/>
        </w:rPr>
      </w:r>
    </w:p>
    <w:p>
      <w:pPr>
        <w:pStyle w:val="0"/>
        <w:jc w:val="center"/>
      </w:pPr>
      <w:r>
        <w:rPr>
          <w:position w:val="-8"/>
        </w:rPr>
        <w:drawing>
          <wp:inline distT="0" distB="0" distL="0" distR="0">
            <wp:extent cx="1181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rPr>
          <w:sz w:val="20"/>
        </w:rPr>
        <w:t xml:space="preserve">, (6),</w:t>
      </w:r>
    </w:p>
    <w:p>
      <w:pPr>
        <w:pStyle w:val="0"/>
        <w:jc w:val="both"/>
      </w:pPr>
      <w:r>
        <w:rPr>
          <w:sz w:val="20"/>
        </w:rPr>
      </w:r>
    </w:p>
    <w:p>
      <w:pPr>
        <w:pStyle w:val="0"/>
        <w:jc w:val="center"/>
      </w:pPr>
      <w:r>
        <w:rPr>
          <w:position w:val="-8"/>
        </w:rPr>
        <w:drawing>
          <wp:inline distT="0" distB="0" distL="0" distR="0">
            <wp:extent cx="1333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Pr>
          <w:sz w:val="20"/>
        </w:rPr>
        <w:t xml:space="preserve">, (7),</w:t>
      </w:r>
    </w:p>
    <w:p>
      <w:pPr>
        <w:pStyle w:val="0"/>
        <w:jc w:val="both"/>
      </w:pPr>
      <w:r>
        <w:rPr>
          <w:sz w:val="20"/>
        </w:rPr>
      </w:r>
    </w:p>
    <w:p>
      <w:pPr>
        <w:pStyle w:val="0"/>
        <w:jc w:val="center"/>
      </w:pPr>
      <w:r>
        <w:rPr>
          <w:position w:val="-8"/>
        </w:rPr>
        <w:drawing>
          <wp:inline distT="0" distB="0" distL="0" distR="0">
            <wp:extent cx="1323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Pr>
          <w:sz w:val="20"/>
        </w:rPr>
        <w:t xml:space="preserve">, (8),</w:t>
      </w:r>
    </w:p>
    <w:p>
      <w:pPr>
        <w:pStyle w:val="0"/>
        <w:jc w:val="both"/>
      </w:pPr>
      <w:r>
        <w:rPr>
          <w:sz w:val="20"/>
        </w:rPr>
      </w:r>
    </w:p>
    <w:p>
      <w:pPr>
        <w:pStyle w:val="0"/>
        <w:jc w:val="center"/>
      </w:pPr>
      <w:r>
        <w:rPr>
          <w:position w:val="-8"/>
        </w:rPr>
        <w:drawing>
          <wp:inline distT="0" distB="0" distL="0" distR="0">
            <wp:extent cx="1343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 w:val="20"/>
        </w:rPr>
        <w:t xml:space="preserve">, (9),</w:t>
      </w:r>
    </w:p>
    <w:p>
      <w:pPr>
        <w:pStyle w:val="0"/>
        <w:jc w:val="both"/>
      </w:pPr>
      <w:r>
        <w:rPr>
          <w:sz w:val="20"/>
        </w:rPr>
      </w:r>
    </w:p>
    <w:p>
      <w:pPr>
        <w:pStyle w:val="0"/>
        <w:jc w:val="center"/>
      </w:pPr>
      <w:r>
        <w:rPr>
          <w:position w:val="-8"/>
        </w:rPr>
        <w:drawing>
          <wp:inline distT="0" distB="0" distL="0" distR="0">
            <wp:extent cx="1343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r>
        <w:rPr>
          <w:sz w:val="20"/>
        </w:rPr>
        <w:t xml:space="preserve">, (10),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определенная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71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определенный на одно присоединение, тыс. руб.;</w:t>
      </w:r>
    </w:p>
    <w:p>
      <w:pPr>
        <w:pStyle w:val="0"/>
        <w:spacing w:before="200" w:line-rule="auto"/>
        <w:ind w:firstLine="540"/>
        <w:jc w:val="both"/>
      </w:pPr>
      <w:r>
        <w:rPr>
          <w:position w:val="-1"/>
        </w:rPr>
        <w:drawing>
          <wp:inline distT="0" distB="0" distL="0" distR="0">
            <wp:extent cx="1524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0"/>
        </w:rPr>
        <w:t xml:space="preserve"> - стандартное отклонение, определяемое отдельно для С</w:t>
      </w:r>
      <w:r>
        <w:rPr>
          <w:sz w:val="20"/>
          <w:vertAlign w:val="subscript"/>
        </w:rPr>
        <w:t xml:space="preserve">1.1</w:t>
      </w:r>
      <w:r>
        <w:rPr>
          <w:sz w:val="20"/>
        </w:rPr>
        <w:t xml:space="preserve">, С</w:t>
      </w:r>
      <w:r>
        <w:rPr>
          <w:sz w:val="20"/>
          <w:vertAlign w:val="subscript"/>
        </w:rPr>
        <w:t xml:space="preserve">1.2.1</w:t>
      </w:r>
      <w:r>
        <w:rPr>
          <w:sz w:val="20"/>
        </w:rPr>
        <w:t xml:space="preserve"> и С</w:t>
      </w:r>
      <w:r>
        <w:rPr>
          <w:sz w:val="20"/>
          <w:vertAlign w:val="subscript"/>
        </w:rPr>
        <w:t xml:space="preserve">1.2.2</w:t>
      </w:r>
      <w:r>
        <w:rPr>
          <w:sz w:val="20"/>
        </w:rPr>
        <w:t xml:space="preserve"> по формуле:</w:t>
      </w:r>
    </w:p>
    <w:p>
      <w:pPr>
        <w:pStyle w:val="0"/>
        <w:jc w:val="both"/>
      </w:pPr>
      <w:r>
        <w:rPr>
          <w:sz w:val="20"/>
        </w:rPr>
      </w:r>
    </w:p>
    <w:p>
      <w:pPr>
        <w:pStyle w:val="0"/>
        <w:jc w:val="center"/>
      </w:pPr>
      <w:r>
        <w:rPr>
          <w:position w:val="-35"/>
        </w:rPr>
        <w:drawing>
          <wp:inline distT="0" distB="0" distL="0" distR="0">
            <wp:extent cx="1781175"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Pr>
          <w:sz w:val="20"/>
        </w:rPr>
        <w:t xml:space="preserve">,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perscript"/>
        </w:rPr>
        <w:t xml:space="preserve">средн</w:t>
      </w:r>
      <w:r>
        <w:rPr>
          <w:sz w:val="20"/>
        </w:rP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определенная на одно присоединение в соответствии с настоящим пунктом, тыс. руб.;</w:t>
      </w:r>
    </w:p>
    <w:p>
      <w:pPr>
        <w:pStyle w:val="0"/>
        <w:spacing w:before="200" w:line-rule="auto"/>
        <w:ind w:firstLine="540"/>
        <w:jc w:val="both"/>
      </w:pPr>
      <w:r>
        <w:rPr>
          <w:sz w:val="20"/>
        </w:rPr>
        <w:t xml:space="preserve">P</w:t>
      </w:r>
      <w:r>
        <w:rPr>
          <w:sz w:val="20"/>
          <w:vertAlign w:val="subscript"/>
        </w:rPr>
        <w:t xml:space="preserve">р</w:t>
      </w:r>
      <w:r>
        <w:rPr>
          <w:sz w:val="20"/>
        </w:rP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определенные на одно присоединение в соответствии с настоящим пунктом, тыс. руб.;</w:t>
      </w:r>
    </w:p>
    <w:p>
      <w:pPr>
        <w:pStyle w:val="0"/>
        <w:spacing w:before="200" w:line-rule="auto"/>
        <w:ind w:firstLine="540"/>
        <w:jc w:val="both"/>
      </w:pPr>
      <w:r>
        <w:rPr>
          <w:sz w:val="20"/>
        </w:rPr>
        <w:t xml:space="preserve">Q</w:t>
      </w:r>
      <w:r>
        <w:rPr>
          <w:sz w:val="20"/>
          <w:vertAlign w:val="subscript"/>
        </w:rPr>
        <w:t xml:space="preserve">р</w:t>
      </w:r>
      <w:r>
        <w:rPr>
          <w:sz w:val="20"/>
        </w:rPr>
        <w:t xml:space="preserve"> - количество технологических присоединений для С</w:t>
      </w:r>
      <w:r>
        <w:rPr>
          <w:sz w:val="20"/>
          <w:vertAlign w:val="subscript"/>
        </w:rPr>
        <w:t xml:space="preserve">1.1</w:t>
      </w:r>
      <w:r>
        <w:rPr>
          <w:sz w:val="20"/>
        </w:rPr>
        <w:t xml:space="preserve">, количество технологических присоединений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для С</w:t>
      </w:r>
      <w:r>
        <w:rPr>
          <w:sz w:val="20"/>
          <w:vertAlign w:val="subscript"/>
        </w:rPr>
        <w:t xml:space="preserve">1.2.1</w:t>
      </w:r>
      <w:r>
        <w:rPr>
          <w:sz w:val="20"/>
        </w:rPr>
        <w:t xml:space="preserve">, количество технологических присоединений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для С</w:t>
      </w:r>
      <w:r>
        <w:rPr>
          <w:sz w:val="20"/>
          <w:vertAlign w:val="subscript"/>
        </w:rPr>
        <w:t xml:space="preserve">1.2.2</w:t>
      </w:r>
      <w:r>
        <w:rPr>
          <w:sz w:val="20"/>
        </w:rPr>
        <w:t xml:space="preserve">, осуществленных территориальной сетевой организацией p, шт.</w:t>
      </w:r>
    </w:p>
    <w:p>
      <w:pPr>
        <w:pStyle w:val="0"/>
        <w:spacing w:before="200" w:line-rule="auto"/>
        <w:ind w:firstLine="540"/>
        <w:jc w:val="both"/>
      </w:pPr>
      <w:r>
        <w:rPr>
          <w:sz w:val="20"/>
        </w:rPr>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w:t>
        </w:r>
      </w:hyperlink>
      <w:r>
        <w:rPr>
          <w:sz w:val="20"/>
        </w:rPr>
        <w:t xml:space="preserve"> или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 на одно присоединение по формуле:</w:t>
      </w:r>
    </w:p>
    <w:p>
      <w:pPr>
        <w:pStyle w:val="0"/>
        <w:jc w:val="both"/>
      </w:pPr>
      <w:r>
        <w:rPr>
          <w:sz w:val="20"/>
        </w:rPr>
      </w:r>
    </w:p>
    <w:p>
      <w:pPr>
        <w:pStyle w:val="0"/>
        <w:jc w:val="center"/>
      </w:pPr>
      <w:r>
        <w:rPr>
          <w:position w:val="-32"/>
        </w:rPr>
        <w:drawing>
          <wp:inline distT="0" distB="0" distL="0" distR="0">
            <wp:extent cx="15621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533400"/>
                    </a:xfrm>
                    <a:prstGeom prst="rect">
                      <a:avLst/>
                    </a:prstGeom>
                    <a:noFill/>
                    <a:ln>
                      <a:noFill/>
                    </a:ln>
                  </pic:spPr>
                </pic:pic>
              </a:graphicData>
            </a:graphic>
          </wp:inline>
        </w:drawing>
      </w:r>
      <w:r>
        <w:rPr>
          <w:sz w:val="20"/>
        </w:rPr>
        <w:t xml:space="preserve">, (12),</w:t>
      </w:r>
    </w:p>
    <w:p>
      <w:pPr>
        <w:pStyle w:val="0"/>
        <w:jc w:val="both"/>
      </w:pPr>
      <w:r>
        <w:rPr>
          <w:sz w:val="20"/>
        </w:rPr>
      </w:r>
    </w:p>
    <w:p>
      <w:pPr>
        <w:pStyle w:val="0"/>
        <w:jc w:val="center"/>
      </w:pPr>
      <w:r>
        <w:rPr>
          <w:position w:val="-32"/>
        </w:rPr>
        <w:drawing>
          <wp:inline distT="0" distB="0" distL="0" distR="0">
            <wp:extent cx="16287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rPr>
          <w:sz w:val="20"/>
        </w:rPr>
        <w:t xml:space="preserve">, (13),</w:t>
      </w:r>
    </w:p>
    <w:p>
      <w:pPr>
        <w:pStyle w:val="0"/>
        <w:jc w:val="both"/>
      </w:pPr>
      <w:r>
        <w:rPr>
          <w:sz w:val="20"/>
        </w:rPr>
      </w:r>
    </w:p>
    <w:p>
      <w:pPr>
        <w:pStyle w:val="0"/>
        <w:jc w:val="center"/>
      </w:pPr>
      <w:r>
        <w:rPr>
          <w:position w:val="-29"/>
        </w:rPr>
        <w:drawing>
          <wp:inline distT="0" distB="0" distL="0" distR="0">
            <wp:extent cx="16287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rPr>
          <w:sz w:val="20"/>
        </w:rPr>
        <w:t xml:space="preserve">, (14),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 пункта 16</w:t>
        </w:r>
      </w:hyperlink>
      <w:r>
        <w:rPr>
          <w:sz w:val="20"/>
        </w:rPr>
        <w:t xml:space="preserve"> Методических указаний, на одно присоединение, за год y, тыс. руб.;</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подпунктом "а" пункта 16</w:t>
        </w:r>
      </w:hyperlink>
      <w:r>
        <w:rPr>
          <w:sz w:val="20"/>
        </w:rP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pPr>
        <w:pStyle w:val="0"/>
        <w:spacing w:before="200" w:line-rule="auto"/>
        <w:ind w:firstLine="540"/>
        <w:jc w:val="both"/>
      </w:pPr>
      <w:r>
        <w:rPr>
          <w:sz w:val="20"/>
        </w:rPr>
        <w:t xml:space="preserve">q</w:t>
      </w:r>
      <w:r>
        <w:rPr>
          <w:sz w:val="20"/>
          <w:vertAlign w:val="superscript"/>
        </w:rPr>
        <w:t xml:space="preserve">t</w:t>
      </w:r>
      <w:r>
        <w:rPr>
          <w:sz w:val="20"/>
        </w:rP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pPr>
        <w:pStyle w:val="0"/>
        <w:spacing w:before="200" w:line-rule="auto"/>
        <w:ind w:firstLine="540"/>
        <w:jc w:val="both"/>
      </w:pPr>
      <w:r>
        <w:rPr>
          <w:sz w:val="20"/>
        </w:rPr>
        <w:t xml:space="preserve">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pPr>
        <w:pStyle w:val="0"/>
        <w:spacing w:before="200" w:line-rule="auto"/>
        <w:ind w:firstLine="540"/>
        <w:jc w:val="both"/>
      </w:pPr>
      <w:r>
        <w:rPr>
          <w:position w:val="-10"/>
        </w:rPr>
        <w:drawing>
          <wp:inline distT="0" distB="0" distL="0" distR="0">
            <wp:extent cx="219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sz w:val="20"/>
        </w:rPr>
        <w:t xml:space="preserve"> - количество технологических присоединений для С</w:t>
      </w:r>
      <w:r>
        <w:rPr>
          <w:sz w:val="20"/>
          <w:vertAlign w:val="subscript"/>
        </w:rPr>
        <w:t xml:space="preserve">1.1</w:t>
      </w:r>
      <w:r>
        <w:rPr>
          <w:sz w:val="20"/>
        </w:rPr>
        <w:t xml:space="preserve">, количество технологических присоединений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для С</w:t>
      </w:r>
      <w:r>
        <w:rPr>
          <w:sz w:val="20"/>
          <w:vertAlign w:val="subscript"/>
        </w:rPr>
        <w:t xml:space="preserve">1.2.1</w:t>
      </w:r>
      <w:r>
        <w:rPr>
          <w:sz w:val="20"/>
        </w:rPr>
        <w:t xml:space="preserve">, количество технологических присоединений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для С</w:t>
      </w:r>
      <w:r>
        <w:rPr>
          <w:sz w:val="20"/>
          <w:vertAlign w:val="subscript"/>
        </w:rPr>
        <w:t xml:space="preserve">1.2.2</w:t>
      </w:r>
      <w:r>
        <w:rPr>
          <w:sz w:val="20"/>
        </w:rPr>
        <w:t xml:space="preserve">, осуществленных территориальной сетевой организацией p в году y, шт.;</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за год y, тыс. руб.;</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pPr>
        <w:pStyle w:val="0"/>
        <w:spacing w:before="200" w:line-rule="auto"/>
        <w:ind w:firstLine="540"/>
        <w:jc w:val="both"/>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за год y, тыс. руб.;</w:t>
      </w:r>
    </w:p>
    <w:p>
      <w:pPr>
        <w:pStyle w:val="0"/>
        <w:spacing w:before="200" w:line-rule="auto"/>
        <w:ind w:firstLine="540"/>
        <w:jc w:val="both"/>
      </w:pPr>
      <w:r>
        <w:rPr>
          <w:position w:val="-10"/>
        </w:rPr>
        <w:drawing>
          <wp:inline distT="0" distB="0" distL="0" distR="0">
            <wp:extent cx="447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Pr>
          <w:sz w:val="20"/>
        </w:rPr>
        <w:t xml:space="preserve"> - величина экономически обоснованных расходов на осуществление мероприятия, предусмотренного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подпунктом "в" пункта 16</w:t>
        </w:r>
      </w:hyperlink>
      <w:r>
        <w:rPr>
          <w:sz w:val="20"/>
        </w:rPr>
        <w:t xml:space="preserve"> Методических указаний, на одно присоединение объектов Заявителей, указанных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pPr>
        <w:pStyle w:val="0"/>
        <w:spacing w:before="200" w:line-rule="auto"/>
        <w:ind w:firstLine="540"/>
        <w:jc w:val="both"/>
      </w:pPr>
      <w:r>
        <w:rPr>
          <w:sz w:val="20"/>
        </w:rPr>
        <w:t xml:space="preserve">Расчет стандартизированных тарифных ставок выполняется по формулам:</w:t>
      </w:r>
    </w:p>
    <w:p>
      <w:pPr>
        <w:pStyle w:val="0"/>
        <w:jc w:val="both"/>
      </w:pPr>
      <w:r>
        <w:rPr>
          <w:sz w:val="20"/>
        </w:rPr>
      </w:r>
    </w:p>
    <w:p>
      <w:pPr>
        <w:pStyle w:val="0"/>
        <w:jc w:val="center"/>
      </w:pPr>
      <w:r>
        <w:rPr>
          <w:position w:val="-38"/>
        </w:rPr>
        <w:drawing>
          <wp:inline distT="0" distB="0" distL="0" distR="0">
            <wp:extent cx="50577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5057775" cy="609600"/>
                    </a:xfrm>
                    <a:prstGeom prst="rect">
                      <a:avLst/>
                    </a:prstGeom>
                    <a:noFill/>
                    <a:ln>
                      <a:noFill/>
                    </a:ln>
                  </pic:spPr>
                </pic:pic>
              </a:graphicData>
            </a:graphic>
          </wp:inline>
        </w:drawing>
      </w:r>
      <w:r>
        <w:rPr>
          <w:sz w:val="20"/>
        </w:rPr>
        <w:t xml:space="preserve">, (15),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потребительских цен за год (n-2), в процентах;</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потребительских цен за год (n-3), в процентах;</w:t>
      </w:r>
    </w:p>
    <w:p>
      <w:pPr>
        <w:pStyle w:val="0"/>
        <w:spacing w:before="200" w:line-rule="auto"/>
        <w:ind w:firstLine="540"/>
        <w:jc w:val="both"/>
      </w:pPr>
      <w:r>
        <w:rPr>
          <w:position w:val="-8"/>
        </w:rPr>
        <w:drawing>
          <wp:inline distT="0" distB="0" distL="0" distR="0">
            <wp:extent cx="5238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Pr>
          <w:sz w:val="20"/>
        </w:rPr>
        <w:t xml:space="preserve"> - индекс потребительских цен, предусмотренный одобренным Правительством Российской Федерации в соответствии со </w:t>
      </w:r>
      <w:hyperlink w:history="0" r:id="rId7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статьей 26</w:t>
        </w:r>
      </w:hyperlink>
      <w:r>
        <w:rPr>
          <w:sz w:val="20"/>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pPr>
        <w:pStyle w:val="0"/>
        <w:spacing w:before="200" w:line-rule="auto"/>
        <w:ind w:firstLine="540"/>
        <w:jc w:val="both"/>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индекс потребительских цен, предусмотренный одобренным Правительством Российской Федерации в соответствии со </w:t>
      </w:r>
      <w:hyperlink w:history="0" r:id="rId7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статьей 26</w:t>
        </w:r>
      </w:hyperlink>
      <w:r>
        <w:rPr>
          <w:sz w:val="20"/>
        </w:rP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pPr>
        <w:pStyle w:val="0"/>
        <w:spacing w:before="200" w:line-rule="auto"/>
        <w:ind w:firstLine="540"/>
        <w:jc w:val="both"/>
      </w:pPr>
      <w:r>
        <w:rPr>
          <w:sz w:val="20"/>
        </w:rPr>
        <w:t xml:space="preserve">m - количество лет, за которые имеются данные;</w:t>
      </w:r>
    </w:p>
    <w:p>
      <w:pPr>
        <w:pStyle w:val="0"/>
        <w:jc w:val="both"/>
      </w:pPr>
      <w:r>
        <w:rPr>
          <w:sz w:val="20"/>
        </w:rPr>
      </w:r>
    </w:p>
    <w:p>
      <w:pPr>
        <w:pStyle w:val="0"/>
        <w:jc w:val="center"/>
      </w:pPr>
      <w:r>
        <w:rPr>
          <w:position w:val="-38"/>
        </w:rPr>
        <w:drawing>
          <wp:inline distT="0" distB="0" distL="0" distR="0">
            <wp:extent cx="51149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rPr>
          <w:sz w:val="20"/>
        </w:rPr>
        <w:t xml:space="preserve">, (16),</w:t>
      </w:r>
    </w:p>
    <w:p>
      <w:pPr>
        <w:pStyle w:val="0"/>
        <w:jc w:val="both"/>
      </w:pPr>
      <w:r>
        <w:rPr>
          <w:sz w:val="20"/>
        </w:rPr>
      </w:r>
    </w:p>
    <w:p>
      <w:pPr>
        <w:pStyle w:val="0"/>
        <w:jc w:val="center"/>
      </w:pPr>
      <w:r>
        <w:rPr>
          <w:position w:val="-38"/>
        </w:rPr>
        <w:drawing>
          <wp:inline distT="0" distB="0" distL="0" distR="0">
            <wp:extent cx="511492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5114925" cy="609600"/>
                    </a:xfrm>
                    <a:prstGeom prst="rect">
                      <a:avLst/>
                    </a:prstGeom>
                    <a:noFill/>
                    <a:ln>
                      <a:noFill/>
                    </a:ln>
                  </pic:spPr>
                </pic:pic>
              </a:graphicData>
            </a:graphic>
          </wp:inline>
        </w:drawing>
      </w:r>
      <w:r>
        <w:rPr>
          <w:sz w:val="20"/>
        </w:rPr>
        <w:t xml:space="preserve">, (17).</w:t>
      </w:r>
    </w:p>
    <w:p>
      <w:pPr>
        <w:pStyle w:val="0"/>
        <w:jc w:val="both"/>
      </w:pPr>
      <w:r>
        <w:rPr>
          <w:sz w:val="20"/>
        </w:rPr>
      </w:r>
    </w:p>
    <w:bookmarkStart w:id="206" w:name="P206"/>
    <w:bookmarkEnd w:id="206"/>
    <w:p>
      <w:pPr>
        <w:pStyle w:val="0"/>
        <w:ind w:firstLine="540"/>
        <w:jc w:val="both"/>
      </w:pPr>
      <w:r>
        <w:rPr>
          <w:sz w:val="20"/>
        </w:rPr>
        <w:t xml:space="preserve">26. Стандартизированная тарифная ставка С</w:t>
      </w:r>
      <w:r>
        <w:rPr>
          <w:sz w:val="20"/>
          <w:vertAlign w:val="subscript"/>
        </w:rPr>
        <w:t xml:space="preserve">1</w:t>
      </w:r>
      <w:r>
        <w:rPr>
          <w:sz w:val="20"/>
        </w:rPr>
        <w:t xml:space="preserve">,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sz w:val="20"/>
          <w:vertAlign w:val="subscript"/>
        </w:rPr>
        <w:t xml:space="preserve">1.1</w:t>
      </w:r>
      <w:r>
        <w:rPr>
          <w:sz w:val="20"/>
        </w:rPr>
        <w:t xml:space="preserve"> и С</w:t>
      </w:r>
      <w:r>
        <w:rPr>
          <w:sz w:val="20"/>
          <w:vertAlign w:val="subscript"/>
        </w:rPr>
        <w:t xml:space="preserve">1.2</w:t>
      </w:r>
      <w:r>
        <w:rPr>
          <w:sz w:val="20"/>
        </w:rPr>
        <w:t xml:space="preserve"> с дифференциацией по следующим категориям заявителей:</w:t>
      </w:r>
    </w:p>
    <w:p>
      <w:pPr>
        <w:pStyle w:val="0"/>
        <w:spacing w:before="200" w:line-rule="auto"/>
        <w:ind w:firstLine="540"/>
        <w:jc w:val="both"/>
      </w:pPr>
      <w:r>
        <w:rPr>
          <w:sz w:val="20"/>
        </w:rPr>
        <w:t xml:space="preserve">-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pPr>
        <w:pStyle w:val="0"/>
        <w:spacing w:before="200" w:line-rule="auto"/>
        <w:ind w:firstLine="540"/>
        <w:jc w:val="both"/>
      </w:pPr>
      <w:r>
        <w:rPr>
          <w:sz w:val="20"/>
        </w:rPr>
        <w:t xml:space="preserve">-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pPr>
        <w:pStyle w:val="0"/>
        <w:spacing w:before="200" w:line-rule="auto"/>
        <w:ind w:firstLine="540"/>
        <w:jc w:val="both"/>
      </w:pPr>
      <w:r>
        <w:rPr>
          <w:sz w:val="20"/>
        </w:rPr>
        <w:t xml:space="preserve">-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bookmarkStart w:id="210" w:name="P210"/>
    <w:bookmarkEnd w:id="210"/>
    <w:p>
      <w:pPr>
        <w:pStyle w:val="0"/>
        <w:spacing w:before="200" w:line-rule="auto"/>
        <w:ind w:firstLine="540"/>
        <w:jc w:val="both"/>
      </w:pPr>
      <w:r>
        <w:rPr>
          <w:sz w:val="20"/>
        </w:rPr>
        <w:t xml:space="preserve">27. Стандартизированная тарифная ставка С</w:t>
      </w:r>
      <w:r>
        <w:rPr>
          <w:sz w:val="20"/>
          <w:vertAlign w:val="subscript"/>
        </w:rPr>
        <w:t xml:space="preserve">8</w:t>
      </w:r>
      <w:r>
        <w:rPr>
          <w:sz w:val="20"/>
        </w:rPr>
        <w:t xml:space="preserve">,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pPr>
        <w:pStyle w:val="0"/>
        <w:spacing w:before="200" w:line-rule="auto"/>
        <w:ind w:firstLine="540"/>
        <w:jc w:val="both"/>
      </w:pPr>
      <w:r>
        <w:rPr>
          <w:sz w:val="20"/>
        </w:rPr>
        <w:t xml:space="preserve">28. Стандартизированные тарифные ставки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С</w:t>
      </w:r>
      <w:r>
        <w:rPr>
          <w:sz w:val="20"/>
          <w:vertAlign w:val="subscript"/>
        </w:rPr>
        <w:t xml:space="preserve">8</w:t>
      </w:r>
      <w:r>
        <w:rPr>
          <w:sz w:val="20"/>
        </w:rP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history="0" w:anchor="P417" w:tooltip="Расходы">
        <w:r>
          <w:rPr>
            <w:sz w:val="20"/>
            <w:color w:val="0000ff"/>
          </w:rPr>
          <w:t xml:space="preserve">приложении N 1</w:t>
        </w:r>
      </w:hyperlink>
      <w:r>
        <w:rPr>
          <w:sz w:val="20"/>
        </w:rPr>
        <w:t xml:space="preserve"> к Методическим указаниям.</w:t>
      </w:r>
    </w:p>
    <w:p>
      <w:pPr>
        <w:pStyle w:val="0"/>
        <w:spacing w:before="200" w:line-rule="auto"/>
        <w:ind w:firstLine="540"/>
        <w:jc w:val="both"/>
      </w:pPr>
      <w:r>
        <w:rPr>
          <w:sz w:val="20"/>
        </w:rP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history="0" w:anchor="P417" w:tooltip="Расходы">
        <w:r>
          <w:rPr>
            <w:sz w:val="20"/>
            <w:color w:val="0000ff"/>
          </w:rPr>
          <w:t xml:space="preserve">приложении N 1</w:t>
        </w:r>
      </w:hyperlink>
      <w:r>
        <w:rPr>
          <w:sz w:val="20"/>
        </w:rPr>
        <w:t xml:space="preserve"> к Методическим указаниям, определяются:</w:t>
      </w:r>
    </w:p>
    <w:p>
      <w:pPr>
        <w:pStyle w:val="0"/>
        <w:spacing w:before="200" w:line-rule="auto"/>
        <w:ind w:firstLine="540"/>
        <w:jc w:val="both"/>
      </w:pPr>
      <w:r>
        <w:rPr>
          <w:sz w:val="20"/>
        </w:rP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руб./км);</w:t>
      </w:r>
    </w:p>
    <w:p>
      <w:pPr>
        <w:pStyle w:val="0"/>
        <w:spacing w:before="200" w:line-rule="auto"/>
        <w:ind w:firstLine="540"/>
        <w:jc w:val="both"/>
      </w:pPr>
      <w:r>
        <w:rPr>
          <w:sz w:val="20"/>
        </w:rP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руб./км);</w:t>
      </w:r>
    </w:p>
    <w:p>
      <w:pPr>
        <w:pStyle w:val="0"/>
        <w:spacing w:before="200" w:line-rule="auto"/>
        <w:ind w:firstLine="540"/>
        <w:jc w:val="both"/>
      </w:pPr>
      <w:r>
        <w:rPr>
          <w:sz w:val="20"/>
        </w:rP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(тыс. руб./шт.);</w:t>
      </w:r>
    </w:p>
    <w:p>
      <w:pPr>
        <w:pStyle w:val="0"/>
        <w:spacing w:before="200" w:line-rule="auto"/>
        <w:ind w:firstLine="540"/>
        <w:jc w:val="both"/>
      </w:pPr>
      <w:r>
        <w:rPr>
          <w:sz w:val="20"/>
        </w:rP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руб./кВт);</w:t>
      </w:r>
    </w:p>
    <w:p>
      <w:pPr>
        <w:pStyle w:val="0"/>
        <w:spacing w:before="200" w:line-rule="auto"/>
        <w:ind w:firstLine="540"/>
        <w:jc w:val="both"/>
      </w:pPr>
      <w:r>
        <w:rPr>
          <w:sz w:val="20"/>
        </w:rP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w:t>
      </w:r>
      <w:r>
        <w:rPr>
          <w:position w:val="-10"/>
        </w:rPr>
        <w:drawing>
          <wp:inline distT="0" distB="0" distL="0" distR="0">
            <wp:extent cx="266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Pr>
          <w:sz w:val="20"/>
        </w:rPr>
        <w:t xml:space="preserve"> (тыс. руб. на точку учета).</w:t>
      </w:r>
    </w:p>
    <w:p>
      <w:pPr>
        <w:pStyle w:val="0"/>
        <w:spacing w:before="200" w:line-rule="auto"/>
        <w:ind w:firstLine="540"/>
        <w:jc w:val="both"/>
      </w:pPr>
      <w:r>
        <w:rPr>
          <w:sz w:val="20"/>
        </w:rPr>
        <w:t xml:space="preserve">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(18),</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(19),</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(20),</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(21),</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(22),</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(23),</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(24),</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(25),</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(26),</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(27),</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(28),</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(29),</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(30),</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Pr>
          <w:sz w:val="20"/>
        </w:rPr>
        <w:t xml:space="preserve">, (31),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руб./км;</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руб./шт.;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руб./кВт;</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pPr>
        <w:pStyle w:val="0"/>
        <w:spacing w:before="200" w:line-rule="auto"/>
        <w:ind w:firstLine="540"/>
        <w:jc w:val="both"/>
      </w:pP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pPr>
        <w:pStyle w:val="0"/>
        <w:spacing w:before="200" w:line-rule="auto"/>
        <w:ind w:firstLine="540"/>
        <w:jc w:val="both"/>
      </w:pPr>
      <w:r>
        <w:rPr>
          <w:position w:val="-1"/>
        </w:rPr>
        <w:drawing>
          <wp:inline distT="0" distB="0" distL="0" distR="0">
            <wp:extent cx="152400"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20"/>
        </w:rPr>
        <w:t xml:space="preserve"> - стандартное отклонение, определяемое отдельно для С</w:t>
      </w:r>
      <w:r>
        <w:rPr>
          <w:sz w:val="20"/>
          <w:vertAlign w:val="subscript"/>
        </w:rPr>
        <w:t xml:space="preserve">2</w:t>
      </w:r>
      <w:r>
        <w:rPr>
          <w:sz w:val="20"/>
        </w:rPr>
        <w:t xml:space="preserve">, С</w:t>
      </w:r>
      <w:r>
        <w:rPr>
          <w:sz w:val="20"/>
          <w:vertAlign w:val="subscript"/>
        </w:rPr>
        <w:t xml:space="preserve">3</w:t>
      </w:r>
      <w:r>
        <w:rPr>
          <w:sz w:val="20"/>
        </w:rPr>
        <w:t xml:space="preserve">, С</w:t>
      </w:r>
      <w:r>
        <w:rPr>
          <w:sz w:val="20"/>
          <w:vertAlign w:val="subscript"/>
        </w:rPr>
        <w:t xml:space="preserve">4</w:t>
      </w:r>
      <w:r>
        <w:rPr>
          <w:sz w:val="20"/>
        </w:rPr>
        <w:t xml:space="preserve">,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и С</w:t>
      </w:r>
      <w:r>
        <w:rPr>
          <w:sz w:val="20"/>
          <w:vertAlign w:val="subscript"/>
        </w:rPr>
        <w:t xml:space="preserve">8</w:t>
      </w:r>
      <w:r>
        <w:rPr>
          <w:sz w:val="20"/>
        </w:rPr>
        <w:t xml:space="preserve"> по формуле:</w:t>
      </w:r>
    </w:p>
    <w:p>
      <w:pPr>
        <w:pStyle w:val="0"/>
        <w:jc w:val="both"/>
      </w:pPr>
      <w:r>
        <w:rPr>
          <w:sz w:val="20"/>
        </w:rPr>
      </w:r>
    </w:p>
    <w:p>
      <w:pPr>
        <w:pStyle w:val="0"/>
        <w:jc w:val="center"/>
      </w:pPr>
      <w:r>
        <w:rPr>
          <w:position w:val="-34"/>
        </w:rPr>
        <w:drawing>
          <wp:inline distT="0" distB="0" distL="0" distR="0">
            <wp:extent cx="15906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r>
        <w:rPr>
          <w:sz w:val="20"/>
        </w:rPr>
        <w:t xml:space="preserve">, (32),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perscript"/>
        </w:rPr>
        <w:t xml:space="preserve">средн</w:t>
      </w:r>
      <w:r>
        <w:rPr>
          <w:sz w:val="20"/>
        </w:rP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pPr>
        <w:pStyle w:val="0"/>
        <w:spacing w:before="200" w:line-rule="auto"/>
        <w:ind w:firstLine="540"/>
        <w:jc w:val="both"/>
      </w:pPr>
      <w:r>
        <w:rPr>
          <w:sz w:val="20"/>
        </w:rPr>
        <w:t xml:space="preserve">P</w:t>
      </w:r>
      <w:r>
        <w:rPr>
          <w:sz w:val="20"/>
          <w:vertAlign w:val="subscript"/>
        </w:rPr>
        <w:t xml:space="preserve">р</w:t>
      </w:r>
      <w:r>
        <w:rPr>
          <w:sz w:val="20"/>
        </w:rP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pPr>
        <w:pStyle w:val="0"/>
        <w:spacing w:before="200" w:line-rule="auto"/>
        <w:ind w:firstLine="540"/>
        <w:jc w:val="both"/>
      </w:pPr>
      <w:r>
        <w:rPr>
          <w:sz w:val="20"/>
        </w:rP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pPr>
        <w:pStyle w:val="0"/>
        <w:spacing w:before="200" w:line-rule="auto"/>
        <w:ind w:firstLine="540"/>
        <w:jc w:val="both"/>
      </w:pPr>
      <w:r>
        <w:rPr>
          <w:sz w:val="20"/>
        </w:rPr>
        <w:t xml:space="preserve">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(33),</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(34),</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(35),</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(36),</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(37),</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(38),</w:t>
      </w:r>
    </w:p>
    <w:p>
      <w:pPr>
        <w:pStyle w:val="0"/>
        <w:jc w:val="both"/>
      </w:pPr>
      <w:r>
        <w:rPr>
          <w:sz w:val="20"/>
        </w:rPr>
      </w:r>
    </w:p>
    <w:p>
      <w:pPr>
        <w:pStyle w:val="0"/>
        <w:jc w:val="center"/>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(39),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pPr>
        <w:pStyle w:val="0"/>
        <w:spacing w:before="200" w:line-rule="auto"/>
        <w:ind w:firstLine="540"/>
        <w:jc w:val="both"/>
      </w:pPr>
      <w:r>
        <w:rPr>
          <w:sz w:val="20"/>
        </w:rP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history="0" w:anchor="P1013" w:tooltip="ПЕРЕЧЕНЬ СТАНДАРТИЗИРОВАННЫХ ТАРИФНЫХ СТАВОК">
        <w:r>
          <w:rPr>
            <w:sz w:val="20"/>
            <w:color w:val="0000ff"/>
          </w:rPr>
          <w:t xml:space="preserve">приложению N 5</w:t>
        </w:r>
      </w:hyperlink>
      <w:r>
        <w:rPr>
          <w:sz w:val="20"/>
        </w:rP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pPr>
        <w:pStyle w:val="0"/>
        <w:spacing w:before="200" w:line-rule="auto"/>
        <w:ind w:firstLine="540"/>
        <w:jc w:val="both"/>
      </w:pPr>
      <w:r>
        <w:rPr>
          <w:sz w:val="20"/>
        </w:rPr>
        <w:t xml:space="preserve">Расчет стандартизированных тарифных ставок выполняется по формулам:</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w:history="0" r:id="rId146"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w:history="0" r:id="rId148"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8"/>
        </w:rPr>
        <w:drawing>
          <wp:inline distT="0" distB="0" distL="0" distR="0">
            <wp:extent cx="5238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Pr>
          <w:sz w:val="20"/>
        </w:rP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w:history="0" r:id="rId150"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spacing w:before="200" w:line-rule="auto"/>
        <w:ind w:firstLine="540"/>
        <w:jc w:val="both"/>
      </w:pPr>
      <w:r>
        <w:rPr>
          <w:position w:val="-8"/>
        </w:rPr>
        <w:drawing>
          <wp:inline distT="0" distB="0" distL="0" distR="0">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rP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w:history="0" r:id="rId152"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 на соответствующий год).</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(41),</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(42),</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(43),</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(44),</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(45),</w:t>
      </w:r>
    </w:p>
    <w:p>
      <w:pPr>
        <w:pStyle w:val="0"/>
        <w:jc w:val="both"/>
      </w:pPr>
      <w:r>
        <w:rPr>
          <w:sz w:val="20"/>
        </w:rPr>
      </w:r>
    </w:p>
    <w:p>
      <w:pPr>
        <w:pStyle w:val="0"/>
        <w:jc w:val="center"/>
      </w:pPr>
      <w:r>
        <w:rPr>
          <w:position w:val="-38"/>
        </w:rPr>
        <w:drawing>
          <wp:inline distT="0" distB="0" distL="0" distR="0">
            <wp:extent cx="51720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5172075" cy="609600"/>
                    </a:xfrm>
                    <a:prstGeom prst="rect">
                      <a:avLst/>
                    </a:prstGeom>
                    <a:noFill/>
                    <a:ln>
                      <a:noFill/>
                    </a:ln>
                  </pic:spPr>
                </pic:pic>
              </a:graphicData>
            </a:graphic>
          </wp:inline>
        </w:drawing>
      </w:r>
      <w:r>
        <w:rPr>
          <w:sz w:val="20"/>
        </w:rPr>
        <w:t xml:space="preserve">, (46).</w:t>
      </w:r>
    </w:p>
    <w:p>
      <w:pPr>
        <w:pStyle w:val="0"/>
        <w:jc w:val="both"/>
      </w:pPr>
      <w:r>
        <w:rPr>
          <w:sz w:val="20"/>
        </w:rPr>
      </w:r>
    </w:p>
    <w:p>
      <w:pPr>
        <w:pStyle w:val="0"/>
        <w:ind w:firstLine="540"/>
        <w:jc w:val="both"/>
      </w:pPr>
      <w:r>
        <w:rPr>
          <w:sz w:val="20"/>
        </w:rPr>
        <w:t xml:space="preserve">29. Для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стандартизированные тарифные ставки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w:t>
      </w:r>
      <w:r>
        <w:rPr>
          <w:position w:val="-10"/>
        </w:rPr>
        <w:drawing>
          <wp:inline distT="0" distB="0" distL="0" distR="0">
            <wp:extent cx="83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Pr>
          <w:sz w:val="20"/>
        </w:rPr>
        <w:t xml:space="preserve"> рассчитываются по следующим формулам:</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(47),</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(48),</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(49),</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(50),</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(51),</w:t>
      </w:r>
    </w:p>
    <w:p>
      <w:pPr>
        <w:pStyle w:val="0"/>
        <w:jc w:val="both"/>
      </w:pPr>
      <w:r>
        <w:rPr>
          <w:sz w:val="20"/>
        </w:rPr>
      </w:r>
    </w:p>
    <w:p>
      <w:pPr>
        <w:pStyle w:val="0"/>
        <w:jc w:val="center"/>
      </w:pPr>
      <w:r>
        <w:rPr>
          <w:position w:val="-10"/>
        </w:rPr>
        <w:drawing>
          <wp:inline distT="0" distB="0" distL="0" distR="0">
            <wp:extent cx="1076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Pr>
          <w:sz w:val="20"/>
        </w:rPr>
        <w:t xml:space="preserve">, (52).</w:t>
      </w:r>
    </w:p>
    <w:p>
      <w:pPr>
        <w:pStyle w:val="0"/>
        <w:jc w:val="both"/>
      </w:pPr>
      <w:r>
        <w:rPr>
          <w:sz w:val="20"/>
        </w:rPr>
      </w:r>
    </w:p>
    <w:p>
      <w:pPr>
        <w:pStyle w:val="0"/>
        <w:ind w:firstLine="540"/>
        <w:jc w:val="both"/>
      </w:pPr>
      <w:r>
        <w:rPr>
          <w:sz w:val="20"/>
        </w:rPr>
        <w:t xml:space="preserve">30. Для Заявителей, максимальная мощность присоединяемых энергопринимающих устройств которых составляет не более чем 150 кВт, включая Заявителей, указанных в </w:t>
      </w:r>
      <w:hyperlink w:history="0" w:anchor="P76" w:tooltip="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пункта 8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пункте 9 Методических указаний, а также в случаях, предусмотренных пунктом 13 Методических указаний, расчет платы за...">
        <w:r>
          <w:rPr>
            <w:sz w:val="20"/>
            <w:color w:val="0000ff"/>
          </w:rPr>
          <w:t xml:space="preserve">пунктах 10</w:t>
        </w:r>
      </w:hyperlink>
      <w:r>
        <w:rPr>
          <w:sz w:val="20"/>
        </w:rPr>
        <w:t xml:space="preserve"> и </w:t>
      </w:r>
      <w:hyperlink w:history="0" w:anchor="P77" w:tooltip="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главой II Методически...">
        <w:r>
          <w:rPr>
            <w:sz w:val="20"/>
            <w:color w:val="0000ff"/>
          </w:rPr>
          <w:t xml:space="preserve">11</w:t>
        </w:r>
      </w:hyperlink>
      <w:r>
        <w:rPr>
          <w:sz w:val="20"/>
        </w:rPr>
        <w:t xml:space="preserve"> Методических указаний, за исключением Заявителей, указанных в </w:t>
      </w:r>
      <w:hyperlink w:history="0" w:anchor="P78" w:tooltip="12. В отношении энергопринимающих устройств Заявителей, указанных в пункте 12(1)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
        <w:r>
          <w:rPr>
            <w:sz w:val="20"/>
            <w:color w:val="0000ff"/>
          </w:rPr>
          <w:t xml:space="preserve">пункте 12</w:t>
        </w:r>
      </w:hyperlink>
      <w:r>
        <w:rPr>
          <w:sz w:val="20"/>
        </w:rPr>
        <w:t xml:space="preserve"> Методических указаний, стандартизированные тарифные ставки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устанавливаемые на период до 31 декабря 2022 г., рассчитываются по следующим формулам:</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(53),</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Pr>
          <w:sz w:val="20"/>
        </w:rPr>
        <w:t xml:space="preserve">, (54),</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(55),</w:t>
      </w:r>
    </w:p>
    <w:p>
      <w:pPr>
        <w:pStyle w:val="0"/>
        <w:jc w:val="both"/>
      </w:pPr>
      <w:r>
        <w:rPr>
          <w:sz w:val="20"/>
        </w:rPr>
      </w:r>
    </w:p>
    <w:p>
      <w:pPr>
        <w:pStyle w:val="0"/>
        <w:jc w:val="center"/>
      </w:pPr>
      <w:r>
        <w:rPr>
          <w:position w:val="-10"/>
        </w:rPr>
        <w:drawing>
          <wp:inline distT="0" distB="0" distL="0" distR="0">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Pr>
          <w:sz w:val="20"/>
        </w:rPr>
        <w:t xml:space="preserve">, (56),</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(57),</w:t>
      </w:r>
    </w:p>
    <w:p>
      <w:pPr>
        <w:pStyle w:val="0"/>
        <w:jc w:val="both"/>
      </w:pPr>
      <w:r>
        <w:rPr>
          <w:sz w:val="20"/>
        </w:rPr>
      </w:r>
    </w:p>
    <w:p>
      <w:pPr>
        <w:pStyle w:val="0"/>
        <w:jc w:val="center"/>
      </w:pPr>
      <w:r>
        <w:rPr>
          <w:position w:val="-10"/>
        </w:rPr>
        <w:drawing>
          <wp:inline distT="0" distB="0" distL="0" distR="0">
            <wp:extent cx="1257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Pr>
          <w:sz w:val="20"/>
        </w:rPr>
        <w:t xml:space="preserve">, (58).</w:t>
      </w:r>
    </w:p>
    <w:p>
      <w:pPr>
        <w:pStyle w:val="0"/>
        <w:jc w:val="both"/>
      </w:pPr>
      <w:r>
        <w:rPr>
          <w:sz w:val="20"/>
        </w:rPr>
      </w:r>
    </w:p>
    <w:p>
      <w:pPr>
        <w:pStyle w:val="0"/>
        <w:ind w:firstLine="540"/>
        <w:jc w:val="both"/>
      </w:pPr>
      <w:r>
        <w:rPr>
          <w:sz w:val="20"/>
        </w:rPr>
        <w:t xml:space="preserve">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pPr>
        <w:pStyle w:val="0"/>
        <w:spacing w:before="200" w:line-rule="auto"/>
        <w:ind w:firstLine="540"/>
        <w:jc w:val="both"/>
      </w:pPr>
      <w:r>
        <w:rPr>
          <w:sz w:val="20"/>
        </w:rP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следующим образом:</w:t>
      </w:r>
    </w:p>
    <w:bookmarkStart w:id="363" w:name="P363"/>
    <w:bookmarkEnd w:id="363"/>
    <w:p>
      <w:pPr>
        <w:pStyle w:val="0"/>
        <w:spacing w:before="200" w:line-rule="auto"/>
        <w:ind w:firstLine="540"/>
        <w:jc w:val="both"/>
      </w:pPr>
      <w:r>
        <w:rPr>
          <w:sz w:val="20"/>
        </w:rP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(кроме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С</w:t>
      </w:r>
      <w:r>
        <w:rPr>
          <w:sz w:val="20"/>
          <w:vertAlign w:val="subscript"/>
        </w:rPr>
        <w:t xml:space="preserve">1</w:t>
      </w:r>
      <w:r>
        <w:rPr>
          <w:sz w:val="20"/>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sz w:val="20"/>
          <w:vertAlign w:val="subscript"/>
        </w:rPr>
        <w:t xml:space="preserve">8</w:t>
      </w:r>
      <w:r>
        <w:rPr>
          <w:sz w:val="20"/>
        </w:rPr>
        <w:t xml:space="preserve">;</w:t>
      </w:r>
    </w:p>
    <w:bookmarkStart w:id="364" w:name="P364"/>
    <w:bookmarkEnd w:id="364"/>
    <w:p>
      <w:pPr>
        <w:pStyle w:val="0"/>
        <w:spacing w:before="200" w:line-rule="auto"/>
        <w:ind w:firstLine="540"/>
        <w:jc w:val="both"/>
      </w:pPr>
      <w:r>
        <w:rPr>
          <w:sz w:val="20"/>
        </w:rP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history="0" w:anchor="P363" w:tooltip="а) если отсутствует необходимость реализации мероприятий &quot;последней мили&quot;,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кроме подпункта &quot;б&quot;), С1, и произведения стандартизированной тарифной ставки на покрытие расх...">
        <w:r>
          <w:rPr>
            <w:sz w:val="20"/>
            <w:color w:val="0000ff"/>
          </w:rPr>
          <w:t xml:space="preserve">подпунктом "а"</w:t>
        </w:r>
      </w:hyperlink>
      <w:r>
        <w:rPr>
          <w:sz w:val="20"/>
        </w:rP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sz w:val="20"/>
          <w:vertAlign w:val="subscript"/>
        </w:rPr>
        <w:t xml:space="preserve">2</w:t>
      </w:r>
      <w:r>
        <w:rPr>
          <w:sz w:val="20"/>
        </w:rPr>
        <w:t xml:space="preserve">) и (или) кабельных (С</w:t>
      </w:r>
      <w:r>
        <w:rPr>
          <w:sz w:val="20"/>
          <w:vertAlign w:val="subscript"/>
        </w:rPr>
        <w:t xml:space="preserve">3</w:t>
      </w:r>
      <w:r>
        <w:rPr>
          <w:sz w:val="20"/>
        </w:rPr>
        <w:t xml:space="preserve">) линий электропередачи на i-том уровне напряжения и суммарной протяженности воздушных и (или) кабельных линий (L</w:t>
      </w:r>
      <w:r>
        <w:rPr>
          <w:sz w:val="20"/>
          <w:vertAlign w:val="subscript"/>
        </w:rPr>
        <w:t xml:space="preserve">i</w:t>
      </w:r>
      <w:r>
        <w:rPr>
          <w:sz w:val="20"/>
        </w:rPr>
        <w:t xml:space="preserve">), строительство которых предусмотрено согласно выданным техническим условиям для технологического присоединения Заявителя;</w:t>
      </w:r>
    </w:p>
    <w:p>
      <w:pPr>
        <w:pStyle w:val="0"/>
        <w:spacing w:before="200" w:line-rule="auto"/>
        <w:ind w:firstLine="540"/>
        <w:jc w:val="both"/>
      </w:pPr>
      <w:r>
        <w:rPr>
          <w:sz w:val="20"/>
        </w:rPr>
        <w:t xml:space="preserve">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history="0" w:anchor="P364" w:tooltip="б) если при технологическом присоединении согласно техническим условиям предусматривается мероприятие &quot;последней мили&quot; по прокладке воздушных и (или) кабельных линий, то формула платы определяется как сумма расходов, определенных в соответствии с подпунктом &quot;а&quot; настоящего пункта, и произведения стандартизированной тарифной ставки на покрытие расходов сетевой организации на строительство воздушных (С2) и (или) кабельных (С3) линий электропередачи на i-том уровне напряжения и суммарной протяженности воздуш...">
        <w:r>
          <w:rPr>
            <w:sz w:val="20"/>
            <w:color w:val="0000ff"/>
          </w:rPr>
          <w:t xml:space="preserve">подпунктом "б"</w:t>
        </w:r>
      </w:hyperlink>
      <w:r>
        <w:rPr>
          <w:sz w:val="20"/>
        </w:rPr>
        <w:t xml:space="preserve"> настоящего пункта, произведения ставки С</w:t>
      </w:r>
      <w:r>
        <w:rPr>
          <w:sz w:val="20"/>
          <w:vertAlign w:val="subscript"/>
        </w:rPr>
        <w:t xml:space="preserve">4</w:t>
      </w:r>
      <w:r>
        <w:rPr>
          <w:sz w:val="20"/>
        </w:rPr>
        <w:t xml:space="preserve"> и количества пунктов секционирования, и произведения ставок С</w:t>
      </w:r>
      <w:r>
        <w:rPr>
          <w:sz w:val="20"/>
          <w:vertAlign w:val="subscript"/>
        </w:rPr>
        <w:t xml:space="preserve">5</w:t>
      </w:r>
      <w:r>
        <w:rPr>
          <w:sz w:val="20"/>
        </w:rPr>
        <w:t xml:space="preserve">, С</w:t>
      </w:r>
      <w:r>
        <w:rPr>
          <w:sz w:val="20"/>
          <w:vertAlign w:val="subscript"/>
        </w:rPr>
        <w:t xml:space="preserve">6</w:t>
      </w:r>
      <w:r>
        <w:rPr>
          <w:sz w:val="20"/>
        </w:rPr>
        <w:t xml:space="preserve">, С</w:t>
      </w:r>
      <w:r>
        <w:rPr>
          <w:sz w:val="20"/>
          <w:vertAlign w:val="subscript"/>
        </w:rPr>
        <w:t xml:space="preserve">7</w:t>
      </w:r>
      <w:r>
        <w:rPr>
          <w:sz w:val="20"/>
        </w:rPr>
        <w:t xml:space="preserve"> и объема максимальной мощности присоединяемых Устройств (N</w:t>
      </w:r>
      <w:r>
        <w:rPr>
          <w:sz w:val="20"/>
          <w:vertAlign w:val="subscript"/>
        </w:rPr>
        <w:t xml:space="preserve">i</w:t>
      </w:r>
      <w:r>
        <w:rPr>
          <w:sz w:val="20"/>
        </w:rPr>
        <w:t xml:space="preserve">), указанного Заявителем в заявке на технологическое присоединение;</w:t>
      </w:r>
    </w:p>
    <w:p>
      <w:pPr>
        <w:pStyle w:val="0"/>
        <w:spacing w:before="200" w:line-rule="auto"/>
        <w:ind w:firstLine="540"/>
        <w:jc w:val="both"/>
      </w:pPr>
      <w:r>
        <w:rPr>
          <w:sz w:val="20"/>
        </w:rPr>
        <w:t xml:space="preserve">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pPr>
        <w:pStyle w:val="0"/>
        <w:spacing w:before="200" w:line-rule="auto"/>
        <w:ind w:firstLine="540"/>
        <w:jc w:val="both"/>
      </w:pPr>
      <w:r>
        <w:rPr>
          <w:sz w:val="20"/>
        </w:rPr>
        <w:t xml:space="preserve">- 50% стоимости мероприятий, предусмотренных техническими условиями, определяется в ценах года, соответствующего году утверждения платы;</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w:history="0" r:id="rId183"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(при отсутствии данного индекса используется индекс потребительских цен);</w:t>
      </w:r>
    </w:p>
    <w:p>
      <w:pPr>
        <w:pStyle w:val="0"/>
        <w:spacing w:before="200" w:line-rule="auto"/>
        <w:ind w:firstLine="540"/>
        <w:jc w:val="both"/>
      </w:pPr>
      <w:r>
        <w:rPr>
          <w:sz w:val="20"/>
        </w:rPr>
        <w:t xml:space="preserve">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w:history="0" r:id="rId184"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pPr>
        <w:pStyle w:val="0"/>
        <w:spacing w:before="200" w:line-rule="auto"/>
        <w:ind w:firstLine="540"/>
        <w:jc w:val="both"/>
      </w:pPr>
      <w:r>
        <w:rPr>
          <w:sz w:val="20"/>
        </w:rP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w:history="0" r:id="rId185" w:tooltip="Постановление Правительства РФ от 29.12.2011 N 1178 (ред. от 01.09.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абзаца восьмого пункта 87</w:t>
        </w:r>
      </w:hyperlink>
      <w:r>
        <w:rPr>
          <w:sz w:val="20"/>
        </w:rP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pPr>
        <w:pStyle w:val="0"/>
        <w:spacing w:before="200" w:line-rule="auto"/>
        <w:ind w:firstLine="540"/>
        <w:jc w:val="both"/>
      </w:pPr>
      <w:r>
        <w:rPr>
          <w:sz w:val="20"/>
        </w:rPr>
        <w:t xml:space="preserve">Размер платы для каждого присоединения рассчитывается сетевой организацией в соответствии с утвержденной формулой.</w:t>
      </w:r>
    </w:p>
    <w:p>
      <w:pPr>
        <w:pStyle w:val="0"/>
        <w:spacing w:before="200" w:line-rule="auto"/>
        <w:ind w:firstLine="540"/>
        <w:jc w:val="both"/>
      </w:pPr>
      <w:r>
        <w:rPr>
          <w:sz w:val="20"/>
        </w:rPr>
        <w:t xml:space="preserve">Стандартизированные тарифные ставки С</w:t>
      </w:r>
      <w:r>
        <w:rPr>
          <w:sz w:val="20"/>
          <w:vertAlign w:val="subscript"/>
        </w:rPr>
        <w:t xml:space="preserve">2</w:t>
      </w:r>
      <w:r>
        <w:rPr>
          <w:sz w:val="20"/>
        </w:rPr>
        <w:t xml:space="preserve"> и С</w:t>
      </w:r>
      <w:r>
        <w:rPr>
          <w:sz w:val="20"/>
          <w:vertAlign w:val="subscript"/>
        </w:rPr>
        <w:t xml:space="preserve">3</w:t>
      </w:r>
      <w:r>
        <w:rPr>
          <w:sz w:val="20"/>
        </w:rPr>
        <w:t xml:space="preserve"> применяются к протяженности линий электропередачи по трассе.</w:t>
      </w:r>
    </w:p>
    <w:p>
      <w:pPr>
        <w:pStyle w:val="0"/>
        <w:spacing w:before="200" w:line-rule="auto"/>
        <w:ind w:firstLine="540"/>
        <w:jc w:val="both"/>
      </w:pPr>
      <w:r>
        <w:rPr>
          <w:sz w:val="20"/>
        </w:rP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w:history="0" r:id="rId18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абзацами первым</w:t>
        </w:r>
      </w:hyperlink>
      <w:r>
        <w:rPr>
          <w:sz w:val="20"/>
        </w:rPr>
        <w:t xml:space="preserve"> и </w:t>
      </w:r>
      <w:hyperlink w:history="0" r:id="rId18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шестым пункта 17(1)</w:t>
        </w:r>
      </w:hyperlink>
      <w:r>
        <w:rPr>
          <w:sz w:val="20"/>
        </w:rP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r>
        <w:rPr>
          <w:sz w:val="20"/>
          <w:vertAlign w:val="subscript"/>
        </w:rPr>
        <w:t xml:space="preserve">1.1</w:t>
      </w:r>
      <w:r>
        <w:rPr>
          <w:sz w:val="20"/>
        </w:rPr>
        <w:t xml:space="preserve"> определяются однократно.</w:t>
      </w:r>
    </w:p>
    <w:p>
      <w:pPr>
        <w:pStyle w:val="0"/>
        <w:jc w:val="both"/>
      </w:pPr>
      <w:r>
        <w:rPr>
          <w:sz w:val="20"/>
        </w:rPr>
      </w:r>
    </w:p>
    <w:bookmarkStart w:id="377" w:name="P377"/>
    <w:bookmarkEnd w:id="377"/>
    <w:p>
      <w:pPr>
        <w:pStyle w:val="2"/>
        <w:outlineLvl w:val="1"/>
        <w:jc w:val="center"/>
      </w:pPr>
      <w:r>
        <w:rPr>
          <w:sz w:val="20"/>
        </w:rPr>
        <w:t xml:space="preserve">III. Расчет размера платы за технологическое присоединение</w:t>
      </w:r>
    </w:p>
    <w:p>
      <w:pPr>
        <w:pStyle w:val="2"/>
        <w:jc w:val="center"/>
      </w:pPr>
      <w:r>
        <w:rPr>
          <w:sz w:val="20"/>
        </w:rPr>
        <w:t xml:space="preserve">по индивидуальному проекту</w:t>
      </w:r>
    </w:p>
    <w:p>
      <w:pPr>
        <w:pStyle w:val="0"/>
        <w:jc w:val="both"/>
      </w:pPr>
      <w:r>
        <w:rPr>
          <w:sz w:val="20"/>
        </w:rPr>
      </w:r>
    </w:p>
    <w:p>
      <w:pPr>
        <w:pStyle w:val="0"/>
        <w:ind w:firstLine="540"/>
        <w:jc w:val="both"/>
      </w:pPr>
      <w:r>
        <w:rPr>
          <w:sz w:val="20"/>
        </w:rPr>
        <w:t xml:space="preserve">34. Плата за технологическое присоединение к электрическим сетям территориальных сетевых организаций по индивидуальному проекту определяется только при наличии оснований, предусмотренных </w:t>
      </w:r>
      <w:hyperlink w:history="0" r:id="rId18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абзацем первым пункта 30.5</w:t>
        </w:r>
      </w:hyperlink>
      <w:r>
        <w:rPr>
          <w:sz w:val="20"/>
        </w:rPr>
        <w:t xml:space="preserve"> Правил технологического присоединения (Собрание законодательства Российской Федерации, 2004, N 52, ст. 5525; 2019, N 23, ст. 2940).</w:t>
      </w:r>
    </w:p>
    <w:p>
      <w:pPr>
        <w:pStyle w:val="0"/>
        <w:spacing w:before="200" w:line-rule="auto"/>
        <w:ind w:firstLine="540"/>
        <w:jc w:val="both"/>
      </w:pPr>
      <w:r>
        <w:rPr>
          <w:sz w:val="20"/>
        </w:rPr>
        <w:t xml:space="preserve">35. Плата за технологическое присоединение для Заявителей, присоединяющихся к электрическим сетям по индивидуальному проекту, определяется в соответствии с выданными техническими условиями по формуле (59) и устанавливается в тыс. руб.:</w:t>
      </w:r>
    </w:p>
    <w:p>
      <w:pPr>
        <w:pStyle w:val="0"/>
        <w:jc w:val="both"/>
      </w:pPr>
      <w:r>
        <w:rPr>
          <w:sz w:val="20"/>
        </w:rPr>
      </w:r>
    </w:p>
    <w:p>
      <w:pPr>
        <w:pStyle w:val="0"/>
        <w:jc w:val="center"/>
      </w:pPr>
      <w:r>
        <w:rPr>
          <w:sz w:val="20"/>
        </w:rPr>
        <w:t xml:space="preserve">ПТП = P + P</w:t>
      </w:r>
      <w:r>
        <w:rPr>
          <w:sz w:val="20"/>
          <w:vertAlign w:val="subscript"/>
        </w:rPr>
        <w:t xml:space="preserve">и</w:t>
      </w:r>
      <w:r>
        <w:rPr>
          <w:sz w:val="20"/>
        </w:rPr>
        <w:t xml:space="preserve"> + P</w:t>
      </w:r>
      <w:r>
        <w:rPr>
          <w:sz w:val="20"/>
          <w:vertAlign w:val="subscript"/>
        </w:rPr>
        <w:t xml:space="preserve">тп</w:t>
      </w:r>
      <w:r>
        <w:rPr>
          <w:sz w:val="20"/>
        </w:rPr>
        <w:t xml:space="preserve">, (59),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стоимость мероприятий, перечисленных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(за исключением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подпункта "б"</w:t>
        </w:r>
      </w:hyperlink>
      <w:r>
        <w:rPr>
          <w:sz w:val="20"/>
        </w:rPr>
        <w:t xml:space="preserve">)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pPr>
        <w:pStyle w:val="0"/>
        <w:spacing w:before="200" w:line-rule="auto"/>
        <w:ind w:firstLine="540"/>
        <w:jc w:val="both"/>
      </w:pPr>
      <w:r>
        <w:rPr>
          <w:sz w:val="20"/>
        </w:rPr>
        <w:t xml:space="preserve">P</w:t>
      </w:r>
      <w:r>
        <w:rPr>
          <w:sz w:val="20"/>
          <w:vertAlign w:val="subscript"/>
        </w:rPr>
        <w:t xml:space="preserve">и</w:t>
      </w:r>
      <w:r>
        <w:rPr>
          <w:sz w:val="20"/>
        </w:rPr>
        <w:t xml:space="preserve"> - расходы на выполнение мероприятий "последней мили"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 "б" пункта 16</w:t>
        </w:r>
      </w:hyperlink>
      <w:r>
        <w:rPr>
          <w:sz w:val="20"/>
        </w:rP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history="0" w:anchor="P95" w:tooltip="- стоимость конкретных мероприятий, предусмотренных подпунктом &quot;б&quot; пункта 16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
        <w:r>
          <w:rPr>
            <w:sz w:val="20"/>
            <w:color w:val="0000ff"/>
          </w:rPr>
          <w:t xml:space="preserve">абзацами четвертым</w:t>
        </w:r>
      </w:hyperlink>
      <w:r>
        <w:rPr>
          <w:sz w:val="20"/>
        </w:rPr>
        <w:t xml:space="preserve"> и </w:t>
      </w:r>
      <w:hyperlink w:history="0" w:anchor="P96" w:tooltip="Если выданные технические условия предусматривают мероприятия по строительству объектов &quot;последней мили&quot;,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
        <w:r>
          <w:rPr>
            <w:sz w:val="20"/>
            <w:color w:val="0000ff"/>
          </w:rPr>
          <w:t xml:space="preserve">пятым пункта 17</w:t>
        </w:r>
      </w:hyperlink>
      <w:r>
        <w:rPr>
          <w:sz w:val="20"/>
        </w:rP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w:history="0" r:id="rId189"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Методикой</w:t>
        </w:r>
      </w:hyperlink>
      <w:r>
        <w:rPr>
          <w:sz w:val="20"/>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421/пр (зарегистрирован Минюстом России 23 сентября 2020 г., регистрационный N 59986), тыс. руб.;</w:t>
      </w:r>
    </w:p>
    <w:p>
      <w:pPr>
        <w:pStyle w:val="0"/>
        <w:spacing w:before="200" w:line-rule="auto"/>
        <w:ind w:firstLine="540"/>
        <w:jc w:val="both"/>
      </w:pPr>
      <w:r>
        <w:rPr>
          <w:sz w:val="20"/>
        </w:rPr>
        <w:t xml:space="preserve">P</w:t>
      </w:r>
      <w:r>
        <w:rPr>
          <w:sz w:val="20"/>
          <w:vertAlign w:val="subscript"/>
        </w:rPr>
        <w:t xml:space="preserve">тп</w:t>
      </w:r>
      <w:r>
        <w:rPr>
          <w:sz w:val="20"/>
        </w:rPr>
        <w:t xml:space="preserve"> - расходы на оплату услуг технологического присоединения к электрическим сетям смежной сетевой организации, тыс. руб.</w:t>
      </w:r>
    </w:p>
    <w:p>
      <w:pPr>
        <w:pStyle w:val="0"/>
        <w:jc w:val="both"/>
      </w:pPr>
      <w:r>
        <w:rPr>
          <w:sz w:val="20"/>
        </w:rPr>
      </w:r>
    </w:p>
    <w:bookmarkStart w:id="390" w:name="P390"/>
    <w:bookmarkEnd w:id="390"/>
    <w:p>
      <w:pPr>
        <w:pStyle w:val="2"/>
        <w:outlineLvl w:val="1"/>
        <w:jc w:val="center"/>
      </w:pPr>
      <w:r>
        <w:rPr>
          <w:sz w:val="20"/>
        </w:rPr>
        <w:t xml:space="preserve">IV. Особенности учета запрашиваемой Заявителем</w:t>
      </w:r>
    </w:p>
    <w:p>
      <w:pPr>
        <w:pStyle w:val="2"/>
        <w:jc w:val="center"/>
      </w:pPr>
      <w:r>
        <w:rPr>
          <w:sz w:val="20"/>
        </w:rPr>
        <w:t xml:space="preserve">категории надежности электроснабжения при расчете платы</w:t>
      </w:r>
    </w:p>
    <w:p>
      <w:pPr>
        <w:pStyle w:val="2"/>
        <w:jc w:val="center"/>
      </w:pPr>
      <w:r>
        <w:rPr>
          <w:sz w:val="20"/>
        </w:rPr>
        <w:t xml:space="preserve">за технологическое присоединение</w:t>
      </w:r>
    </w:p>
    <w:p>
      <w:pPr>
        <w:pStyle w:val="0"/>
        <w:jc w:val="both"/>
      </w:pPr>
      <w:r>
        <w:rPr>
          <w:sz w:val="20"/>
        </w:rPr>
      </w:r>
    </w:p>
    <w:p>
      <w:pPr>
        <w:pStyle w:val="0"/>
        <w:ind w:firstLine="540"/>
        <w:jc w:val="both"/>
      </w:pPr>
      <w:r>
        <w:rPr>
          <w:sz w:val="20"/>
        </w:rPr>
        <w:t xml:space="preserve">36.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pPr>
        <w:pStyle w:val="0"/>
        <w:spacing w:before="200" w:line-rule="auto"/>
        <w:ind w:firstLine="540"/>
        <w:jc w:val="both"/>
      </w:pPr>
      <w:r>
        <w:rPr>
          <w:sz w:val="20"/>
        </w:rP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Методических указаний.</w:t>
      </w:r>
    </w:p>
    <w:p>
      <w:pPr>
        <w:pStyle w:val="0"/>
        <w:spacing w:before="200" w:line-rule="auto"/>
        <w:ind w:firstLine="540"/>
        <w:jc w:val="both"/>
      </w:pPr>
      <w:r>
        <w:rPr>
          <w:sz w:val="20"/>
        </w:rPr>
        <w:t xml:space="preserve">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(P</w:t>
      </w:r>
      <w:r>
        <w:rPr>
          <w:sz w:val="20"/>
          <w:vertAlign w:val="subscript"/>
        </w:rPr>
        <w:t xml:space="preserve">общ</w:t>
      </w:r>
      <w:r>
        <w:rPr>
          <w:sz w:val="20"/>
        </w:rPr>
        <w:t xml:space="preserve">, руб.) определяется по формуле (60):</w:t>
      </w:r>
    </w:p>
    <w:p>
      <w:pPr>
        <w:pStyle w:val="0"/>
        <w:jc w:val="both"/>
      </w:pPr>
      <w:r>
        <w:rPr>
          <w:sz w:val="20"/>
        </w:rPr>
      </w:r>
    </w:p>
    <w:p>
      <w:pPr>
        <w:pStyle w:val="0"/>
        <w:jc w:val="center"/>
      </w:pPr>
      <w:r>
        <w:rPr>
          <w:sz w:val="20"/>
        </w:rPr>
        <w:t xml:space="preserve">P</w:t>
      </w:r>
      <w:r>
        <w:rPr>
          <w:sz w:val="20"/>
          <w:vertAlign w:val="subscript"/>
        </w:rPr>
        <w:t xml:space="preserve">общ</w:t>
      </w:r>
      <w:r>
        <w:rPr>
          <w:sz w:val="20"/>
        </w:rPr>
        <w:t xml:space="preserve"> = P + (P</w:t>
      </w:r>
      <w:r>
        <w:rPr>
          <w:sz w:val="20"/>
          <w:vertAlign w:val="subscript"/>
        </w:rPr>
        <w:t xml:space="preserve">ист1</w:t>
      </w:r>
      <w:r>
        <w:rPr>
          <w:sz w:val="20"/>
        </w:rPr>
        <w:t xml:space="preserve"> + P</w:t>
      </w:r>
      <w:r>
        <w:rPr>
          <w:sz w:val="20"/>
          <w:vertAlign w:val="subscript"/>
        </w:rPr>
        <w:t xml:space="preserve">ист2</w:t>
      </w:r>
      <w:r>
        <w:rPr>
          <w:sz w:val="20"/>
        </w:rPr>
        <w:t xml:space="preserve">), (60),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 - расходы на технологическое присоединение, связанные с проведением мероприятий, указанных в </w:t>
      </w:r>
      <w:hyperlink w:history="0" w:anchor="P88" w:tooltip="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
        <w:r>
          <w:rPr>
            <w:sz w:val="20"/>
            <w:color w:val="0000ff"/>
          </w:rPr>
          <w:t xml:space="preserve">пункте 16</w:t>
        </w:r>
      </w:hyperlink>
      <w:r>
        <w:rPr>
          <w:sz w:val="20"/>
        </w:rPr>
        <w:t xml:space="preserve"> Методических указаний, за исключением указанных в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подпункте "б"</w:t>
        </w:r>
      </w:hyperlink>
      <w:r>
        <w:rPr>
          <w:sz w:val="20"/>
        </w:rPr>
        <w:t xml:space="preserve">, руб.;</w:t>
      </w:r>
    </w:p>
    <w:p>
      <w:pPr>
        <w:pStyle w:val="0"/>
        <w:spacing w:before="200" w:line-rule="auto"/>
        <w:ind w:firstLine="540"/>
        <w:jc w:val="both"/>
      </w:pPr>
      <w:r>
        <w:rPr>
          <w:sz w:val="20"/>
        </w:rPr>
        <w:t xml:space="preserve">P</w:t>
      </w:r>
      <w:r>
        <w:rPr>
          <w:sz w:val="20"/>
          <w:vertAlign w:val="subscript"/>
        </w:rPr>
        <w:t xml:space="preserve">ист1</w:t>
      </w:r>
      <w:r>
        <w:rPr>
          <w:sz w:val="20"/>
        </w:rPr>
        <w:t xml:space="preserve"> - расходы на выполнение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или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 руб.;</w:t>
      </w:r>
    </w:p>
    <w:p>
      <w:pPr>
        <w:pStyle w:val="0"/>
        <w:spacing w:before="200" w:line-rule="auto"/>
        <w:ind w:firstLine="540"/>
        <w:jc w:val="both"/>
      </w:pPr>
      <w:r>
        <w:rPr>
          <w:sz w:val="20"/>
        </w:rPr>
        <w:t xml:space="preserve">P</w:t>
      </w:r>
      <w:r>
        <w:rPr>
          <w:sz w:val="20"/>
          <w:vertAlign w:val="subscript"/>
        </w:rPr>
        <w:t xml:space="preserve">ист2</w:t>
      </w:r>
      <w:r>
        <w:rPr>
          <w:sz w:val="20"/>
        </w:rPr>
        <w:t xml:space="preserve"> - расходы на выполнение мероприятий, предусмотренных </w:t>
      </w:r>
      <w:hyperlink w:history="0" w:anchor="P90" w:tooltip="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w:r>
          <w:rPr>
            <w:sz w:val="20"/>
            <w:color w:val="0000ff"/>
          </w:rPr>
          <w:t xml:space="preserve">подпунктом "б" пункта 16</w:t>
        </w:r>
      </w:hyperlink>
      <w:r>
        <w:rPr>
          <w:sz w:val="20"/>
        </w:rP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history="0" w:anchor="P118" w:tooltip="II. Расчет платы за технологическое присоединение">
        <w:r>
          <w:rPr>
            <w:sz w:val="20"/>
            <w:color w:val="0000ff"/>
          </w:rPr>
          <w:t xml:space="preserve">главой II</w:t>
        </w:r>
      </w:hyperlink>
      <w:r>
        <w:rPr>
          <w:sz w:val="20"/>
        </w:rPr>
        <w:t xml:space="preserve"> или </w:t>
      </w:r>
      <w:hyperlink w:history="0" w:anchor="P377" w:tooltip="III. Расчет размера платы за технологическое присоединение">
        <w:r>
          <w:rPr>
            <w:sz w:val="20"/>
            <w:color w:val="0000ff"/>
          </w:rPr>
          <w:t xml:space="preserve">главой III</w:t>
        </w:r>
      </w:hyperlink>
      <w:r>
        <w:rPr>
          <w:sz w:val="20"/>
        </w:rPr>
        <w:t xml:space="preserve"> Методических указаний, руб.</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17" w:name="P417"/>
    <w:bookmarkEnd w:id="417"/>
    <w:p>
      <w:pPr>
        <w:pStyle w:val="0"/>
        <w:jc w:val="center"/>
      </w:pPr>
      <w:r>
        <w:rPr>
          <w:sz w:val="20"/>
        </w:rPr>
        <w:t xml:space="preserve">Расходы</w:t>
      </w:r>
    </w:p>
    <w:p>
      <w:pPr>
        <w:pStyle w:val="0"/>
        <w:jc w:val="center"/>
      </w:pPr>
      <w:r>
        <w:rPr>
          <w:sz w:val="20"/>
        </w:rPr>
        <w:t xml:space="preserve">на строительство введенных в эксплуатацию объектов</w:t>
      </w:r>
    </w:p>
    <w:p>
      <w:pPr>
        <w:pStyle w:val="0"/>
        <w:jc w:val="center"/>
      </w:pPr>
      <w:r>
        <w:rPr>
          <w:sz w:val="20"/>
        </w:rPr>
        <w:t xml:space="preserve">электросетевого хозяйства для целей технологического</w:t>
      </w:r>
    </w:p>
    <w:p>
      <w:pPr>
        <w:pStyle w:val="0"/>
        <w:jc w:val="center"/>
      </w:pPr>
      <w:r>
        <w:rPr>
          <w:sz w:val="20"/>
        </w:rPr>
        <w:t xml:space="preserve">присоединения и для целей реализации иных мероприятий</w:t>
      </w:r>
    </w:p>
    <w:p>
      <w:pPr>
        <w:pStyle w:val="0"/>
        <w:jc w:val="center"/>
      </w:pPr>
      <w:r>
        <w:rPr>
          <w:sz w:val="20"/>
        </w:rPr>
        <w:t xml:space="preserve">инвестиционной программы территориальной сетевой</w:t>
      </w:r>
    </w:p>
    <w:p>
      <w:pPr>
        <w:pStyle w:val="0"/>
        <w:jc w:val="center"/>
      </w:pPr>
      <w:r>
        <w:rPr>
          <w:sz w:val="20"/>
        </w:rPr>
        <w:t xml:space="preserve">организации, а также на обеспечение средствами</w:t>
      </w:r>
    </w:p>
    <w:p>
      <w:pPr>
        <w:pStyle w:val="0"/>
        <w:jc w:val="center"/>
      </w:pPr>
      <w:r>
        <w:rPr>
          <w:sz w:val="20"/>
        </w:rPr>
        <w:t xml:space="preserve">коммерческого учета электрической энергии (мощности)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120"/>
        <w:gridCol w:w="1142"/>
        <w:gridCol w:w="1642"/>
        <w:gridCol w:w="2290"/>
        <w:gridCol w:w="2016"/>
        <w:gridCol w:w="2150"/>
      </w:tblGrid>
      <w:tr>
        <w:tc>
          <w:tcPr>
            <w:tcW w:w="1361" w:type="dxa"/>
          </w:tcPr>
          <w:p>
            <w:pPr>
              <w:pStyle w:val="0"/>
              <w:jc w:val="center"/>
            </w:pPr>
            <w:r>
              <w:rPr>
                <w:sz w:val="20"/>
              </w:rPr>
              <w:t xml:space="preserve">N</w:t>
            </w:r>
          </w:p>
        </w:tc>
        <w:tc>
          <w:tcPr>
            <w:tcW w:w="3120" w:type="dxa"/>
          </w:tcPr>
          <w:p>
            <w:pPr>
              <w:pStyle w:val="0"/>
              <w:jc w:val="center"/>
            </w:pPr>
            <w:r>
              <w:rPr>
                <w:sz w:val="20"/>
              </w:rPr>
              <w:t xml:space="preserve">Объект электросетевого хозяйства/Средство коммерческого учета электрической энергии (мощности)</w:t>
            </w:r>
          </w:p>
        </w:tc>
        <w:tc>
          <w:tcPr>
            <w:tcW w:w="1142" w:type="dxa"/>
          </w:tcPr>
          <w:p>
            <w:pPr>
              <w:pStyle w:val="0"/>
              <w:jc w:val="center"/>
            </w:pPr>
            <w:r>
              <w:rPr>
                <w:sz w:val="20"/>
              </w:rPr>
              <w:t xml:space="preserve">Год ввода объекта</w:t>
            </w:r>
          </w:p>
        </w:tc>
        <w:tc>
          <w:tcPr>
            <w:tcW w:w="1642" w:type="dxa"/>
          </w:tcPr>
          <w:p>
            <w:pPr>
              <w:pStyle w:val="0"/>
              <w:jc w:val="center"/>
            </w:pPr>
            <w:r>
              <w:rPr>
                <w:sz w:val="20"/>
              </w:rPr>
              <w:t xml:space="preserve">Уровень напряжения, кВ</w:t>
            </w:r>
          </w:p>
        </w:tc>
        <w:tc>
          <w:tcPr>
            <w:tcW w:w="2290" w:type="dxa"/>
          </w:tcPr>
          <w:p>
            <w:pPr>
              <w:pStyle w:val="0"/>
              <w:jc w:val="center"/>
            </w:pPr>
            <w:r>
              <w:rPr>
                <w:sz w:val="20"/>
              </w:rPr>
              <w:t xml:space="preserve">Протяженность (для линий электропередачи), метров/Количество пунктов секционирования, штук/Количество точек учета, штук</w:t>
            </w:r>
          </w:p>
        </w:tc>
        <w:tc>
          <w:tcPr>
            <w:tcW w:w="2016" w:type="dxa"/>
          </w:tcPr>
          <w:p>
            <w:pPr>
              <w:pStyle w:val="0"/>
              <w:jc w:val="center"/>
            </w:pPr>
            <w:r>
              <w:rPr>
                <w:sz w:val="20"/>
              </w:rPr>
              <w:t xml:space="preserve">Максимальная мощность, кВт</w:t>
            </w:r>
          </w:p>
        </w:tc>
        <w:tc>
          <w:tcPr>
            <w:tcW w:w="2150" w:type="dxa"/>
            <w:vAlign w:val="bottom"/>
          </w:tcPr>
          <w:p>
            <w:pPr>
              <w:pStyle w:val="0"/>
              <w:jc w:val="center"/>
            </w:pPr>
            <w:r>
              <w:rPr>
                <w:sz w:val="20"/>
              </w:rPr>
              <w:t xml:space="preserve">Расходы на строительство объекта/на обеспечение средствами коммерческого учета электрической энергии (мощности), тыс. руб.</w:t>
            </w:r>
          </w:p>
        </w:tc>
      </w:tr>
      <w:tr>
        <w:tc>
          <w:tcPr>
            <w:tcW w:w="1361" w:type="dxa"/>
          </w:tcPr>
          <w:p>
            <w:pPr>
              <w:pStyle w:val="0"/>
              <w:outlineLvl w:val="2"/>
            </w:pPr>
            <w:r>
              <w:rPr>
                <w:sz w:val="20"/>
              </w:rPr>
              <w:t xml:space="preserve">1.</w:t>
            </w:r>
          </w:p>
        </w:tc>
        <w:tc>
          <w:tcPr>
            <w:tcW w:w="3120" w:type="dxa"/>
            <w:vAlign w:val="bottom"/>
          </w:tcPr>
          <w:p>
            <w:pPr>
              <w:pStyle w:val="0"/>
              <w:jc w:val="both"/>
            </w:pPr>
            <w:r>
              <w:rPr>
                <w:sz w:val="20"/>
              </w:rPr>
              <w:t xml:space="preserve">Строительство воздушных линий</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w:t>
            </w:r>
          </w:p>
        </w:tc>
        <w:tc>
          <w:tcPr>
            <w:tcW w:w="3120" w:type="dxa"/>
            <w:vAlign w:val="bottom"/>
          </w:tcPr>
          <w:p>
            <w:pPr>
              <w:pStyle w:val="0"/>
              <w:jc w:val="both"/>
            </w:pPr>
            <w:r>
              <w:rPr>
                <w:sz w:val="20"/>
              </w:rPr>
              <w:t xml:space="preserve">Материал опоры (деревянные (j = 1), металлические (j = 2), железобетонные (j = 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w:t>
            </w:r>
          </w:p>
        </w:tc>
        <w:tc>
          <w:tcPr>
            <w:tcW w:w="3120" w:type="dxa"/>
            <w:vAlign w:val="bottom"/>
          </w:tcPr>
          <w:p>
            <w:pPr>
              <w:pStyle w:val="0"/>
              <w:jc w:val="both"/>
            </w:pPr>
            <w:r>
              <w:rPr>
                <w:sz w:val="20"/>
              </w:rPr>
              <w:t xml:space="preserve">Тип провода (изолированный провод (k = 1), неизолированный провод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w:t>
            </w:r>
          </w:p>
        </w:tc>
        <w:tc>
          <w:tcPr>
            <w:tcW w:w="3120" w:type="dxa"/>
            <w:vAlign w:val="bottom"/>
          </w:tcPr>
          <w:p>
            <w:pPr>
              <w:pStyle w:val="0"/>
              <w:jc w:val="both"/>
            </w:pPr>
            <w:r>
              <w:rPr>
                <w:sz w:val="20"/>
              </w:rPr>
              <w:t xml:space="preserve">Материал провода (медный (l = 1), стальной (l = 2), сталеалюминиевый (l = 3), алюминиевый (l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1.j.k.l.m</w:t>
            </w:r>
          </w:p>
        </w:tc>
        <w:tc>
          <w:tcPr>
            <w:tcW w:w="3120" w:type="dxa"/>
            <w:vAlign w:val="bottom"/>
          </w:tcPr>
          <w:p>
            <w:pPr>
              <w:pStyle w:val="0"/>
              <w:jc w:val="both"/>
            </w:pPr>
            <w:r>
              <w:rPr>
                <w:sz w:val="20"/>
              </w:rP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pPr>
            <w:r>
              <w:rPr>
                <w:sz w:val="20"/>
              </w:rPr>
            </w:r>
          </w:p>
        </w:tc>
      </w:tr>
      <w:tr>
        <w:tc>
          <w:tcPr>
            <w:tcW w:w="1361" w:type="dxa"/>
          </w:tcPr>
          <w:p>
            <w:pPr>
              <w:pStyle w:val="0"/>
            </w:pPr>
            <w:r>
              <w:rPr>
                <w:sz w:val="20"/>
              </w:rPr>
              <w:t xml:space="preserve">1.j.k.l.m.n</w:t>
            </w:r>
          </w:p>
        </w:tc>
        <w:tc>
          <w:tcPr>
            <w:tcW w:w="3120" w:type="dxa"/>
            <w:vAlign w:val="bottom"/>
          </w:tcPr>
          <w:p>
            <w:pPr>
              <w:pStyle w:val="0"/>
              <w:jc w:val="both"/>
            </w:pPr>
            <w:r>
              <w:rPr>
                <w:sz w:val="20"/>
              </w:rPr>
              <w:t xml:space="preserve">Количество цепей (одноцепная (n = 1), двухцепная (n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1.j.k.l.m.n.o</w:t>
            </w:r>
          </w:p>
        </w:tc>
        <w:tc>
          <w:tcPr>
            <w:tcW w:w="3120" w:type="dxa"/>
            <w:vAlign w:val="center"/>
          </w:tcPr>
          <w:p>
            <w:pPr>
              <w:pStyle w:val="0"/>
              <w:jc w:val="both"/>
            </w:pPr>
            <w:r>
              <w:rPr>
                <w:sz w:val="20"/>
              </w:rPr>
              <w:t xml:space="preserve">на металлических опорах, за исключением многогранных (o = 1), на многогранных опорах (o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2.</w:t>
            </w:r>
          </w:p>
        </w:tc>
        <w:tc>
          <w:tcPr>
            <w:tcW w:w="3120" w:type="dxa"/>
            <w:vAlign w:val="center"/>
          </w:tcPr>
          <w:p>
            <w:pPr>
              <w:pStyle w:val="0"/>
              <w:jc w:val="both"/>
            </w:pPr>
            <w:r>
              <w:rPr>
                <w:sz w:val="20"/>
              </w:rPr>
              <w:t xml:space="preserve">Строительство кабельных линий</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w:t>
            </w:r>
          </w:p>
        </w:tc>
        <w:tc>
          <w:tcPr>
            <w:tcW w:w="3120" w:type="dxa"/>
            <w:vAlign w:val="bottom"/>
          </w:tcPr>
          <w:p>
            <w:pPr>
              <w:pStyle w:val="0"/>
              <w:jc w:val="both"/>
            </w:pPr>
            <w:r>
              <w:rPr>
                <w:sz w:val="20"/>
              </w:rPr>
              <w:t xml:space="preserve">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w:t>
            </w:r>
          </w:p>
        </w:tc>
        <w:tc>
          <w:tcPr>
            <w:tcW w:w="3120" w:type="dxa"/>
            <w:vAlign w:val="bottom"/>
          </w:tcPr>
          <w:p>
            <w:pPr>
              <w:pStyle w:val="0"/>
              <w:jc w:val="both"/>
            </w:pPr>
            <w:r>
              <w:rPr>
                <w:sz w:val="20"/>
              </w:rPr>
              <w:t xml:space="preserve">Одножильные (k = 1) и многожильные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w:t>
            </w:r>
          </w:p>
        </w:tc>
        <w:tc>
          <w:tcPr>
            <w:tcW w:w="3120" w:type="dxa"/>
            <w:vAlign w:val="bottom"/>
          </w:tcPr>
          <w:p>
            <w:pPr>
              <w:pStyle w:val="0"/>
              <w:jc w:val="both"/>
            </w:pPr>
            <w:r>
              <w:rPr>
                <w:sz w:val="20"/>
              </w:rPr>
              <w:t xml:space="preserve">Кабели с резиновой и пластмассовой изоляцией (l = 1), бумажной изоляцией (l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2.j.k.l.m</w:t>
            </w:r>
          </w:p>
        </w:tc>
        <w:tc>
          <w:tcPr>
            <w:tcW w:w="3120" w:type="dxa"/>
            <w:vAlign w:val="bottom"/>
          </w:tcPr>
          <w:p>
            <w:pPr>
              <w:pStyle w:val="0"/>
              <w:jc w:val="both"/>
            </w:pPr>
            <w:r>
              <w:rPr>
                <w:sz w:val="20"/>
              </w:rP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2.j.k.l.m.n</w:t>
            </w:r>
          </w:p>
        </w:tc>
        <w:tc>
          <w:tcPr>
            <w:tcW w:w="3120" w:type="dxa"/>
            <w:vAlign w:val="bottom"/>
          </w:tcPr>
          <w:p>
            <w:pPr>
              <w:pStyle w:val="0"/>
              <w:jc w:val="both"/>
            </w:pPr>
            <w:r>
              <w:rPr>
                <w:sz w:val="20"/>
              </w:rPr>
              <w:t xml:space="preserve">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3.</w:t>
            </w:r>
          </w:p>
        </w:tc>
        <w:tc>
          <w:tcPr>
            <w:tcW w:w="3120" w:type="dxa"/>
            <w:vAlign w:val="bottom"/>
          </w:tcPr>
          <w:p>
            <w:pPr>
              <w:pStyle w:val="0"/>
              <w:jc w:val="both"/>
            </w:pPr>
            <w:r>
              <w:rPr>
                <w:sz w:val="20"/>
              </w:rPr>
              <w:t xml:space="preserve">Строительство пунктов секционирования</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3.j</w:t>
            </w:r>
          </w:p>
        </w:tc>
        <w:tc>
          <w:tcPr>
            <w:tcW w:w="3120" w:type="dxa"/>
            <w:vAlign w:val="bottom"/>
          </w:tcPr>
          <w:p>
            <w:pPr>
              <w:pStyle w:val="0"/>
              <w:jc w:val="both"/>
            </w:pPr>
            <w:r>
              <w:rPr>
                <w:sz w:val="20"/>
              </w:rPr>
              <w:t xml:space="preserve">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3.j.k</w:t>
            </w:r>
          </w:p>
        </w:tc>
        <w:tc>
          <w:tcPr>
            <w:tcW w:w="3120" w:type="dxa"/>
            <w:vAlign w:val="bottom"/>
          </w:tcPr>
          <w:p>
            <w:pPr>
              <w:pStyle w:val="0"/>
              <w:jc w:val="both"/>
            </w:pPr>
            <w:r>
              <w:rPr>
                <w:sz w:val="20"/>
              </w:rPr>
              <w:t xml:space="preserve">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3.4.k.l</w:t>
            </w:r>
          </w:p>
        </w:tc>
        <w:tc>
          <w:tcPr>
            <w:tcW w:w="3120" w:type="dxa"/>
            <w:vAlign w:val="bottom"/>
          </w:tcPr>
          <w:p>
            <w:pPr>
              <w:pStyle w:val="0"/>
              <w:jc w:val="both"/>
            </w:pPr>
            <w:r>
              <w:rPr>
                <w:sz w:val="20"/>
              </w:rPr>
              <w:t xml:space="preserve">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4.</w:t>
            </w:r>
          </w:p>
        </w:tc>
        <w:tc>
          <w:tcPr>
            <w:tcW w:w="3120" w:type="dxa"/>
          </w:tcPr>
          <w:p>
            <w:pPr>
              <w:pStyle w:val="0"/>
              <w:jc w:val="both"/>
            </w:pPr>
            <w:r>
              <w:rPr>
                <w:sz w:val="20"/>
              </w:rPr>
              <w:t xml:space="preserve">Строительство комплектных трансформаторных подстанций (КТП) с уровнем напряжения до 35 кВ</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w:t>
            </w:r>
          </w:p>
        </w:tc>
        <w:tc>
          <w:tcPr>
            <w:tcW w:w="3120" w:type="dxa"/>
            <w:vAlign w:val="bottom"/>
          </w:tcPr>
          <w:p>
            <w:pPr>
              <w:pStyle w:val="0"/>
              <w:jc w:val="both"/>
            </w:pPr>
            <w:r>
              <w:rPr>
                <w:sz w:val="20"/>
              </w:rPr>
              <w:t xml:space="preserve">Трансформаторные подстанции (ТП), за исключением распределительных трансформаторных подстанций (РТП) 6/0,4 кВ (j = 1), 10/0,4 кВ (j = 2), 20/0,4 кВ (j = 3), 6/10 (10/6) кВ (j = 4), 10/20 (20/10) кВ (j = 5), 6/20 (20/6) (j = 6)</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4.j.k</w:t>
            </w:r>
          </w:p>
        </w:tc>
        <w:tc>
          <w:tcPr>
            <w:tcW w:w="3120" w:type="dxa"/>
            <w:vAlign w:val="center"/>
          </w:tcPr>
          <w:p>
            <w:pPr>
              <w:pStyle w:val="0"/>
              <w:jc w:val="both"/>
            </w:pPr>
            <w:r>
              <w:rPr>
                <w:sz w:val="20"/>
              </w:rPr>
              <w:t xml:space="preserve">Однотрансформаторные (k = 1), двухтрансформаторные и более (k = 2)</w:t>
            </w:r>
          </w:p>
        </w:tc>
        <w:tc>
          <w:tcPr>
            <w:tcW w:w="1142" w:type="dxa"/>
            <w:vAlign w:val="center"/>
          </w:tcPr>
          <w:p>
            <w:pPr>
              <w:pStyle w:val="0"/>
              <w:jc w:val="center"/>
            </w:pPr>
            <w:r>
              <w:rPr>
                <w:sz w:val="20"/>
              </w:rPr>
              <w:t xml:space="preserve">-</w:t>
            </w:r>
          </w:p>
        </w:tc>
        <w:tc>
          <w:tcPr>
            <w:tcW w:w="1642" w:type="dxa"/>
            <w:vAlign w:val="center"/>
          </w:tcPr>
          <w:p>
            <w:pPr>
              <w:pStyle w:val="0"/>
              <w:jc w:val="center"/>
            </w:pPr>
            <w:r>
              <w:rPr>
                <w:sz w:val="20"/>
              </w:rPr>
              <w:t xml:space="preserve">-</w:t>
            </w:r>
          </w:p>
        </w:tc>
        <w:tc>
          <w:tcPr>
            <w:tcW w:w="2290" w:type="dxa"/>
            <w:vAlign w:val="center"/>
          </w:tcPr>
          <w:p>
            <w:pPr>
              <w:pStyle w:val="0"/>
              <w:jc w:val="center"/>
            </w:pPr>
            <w:r>
              <w:rPr>
                <w:sz w:val="20"/>
              </w:rPr>
              <w:t xml:space="preserve">-</w:t>
            </w:r>
          </w:p>
        </w:tc>
        <w:tc>
          <w:tcPr>
            <w:tcW w:w="2016" w:type="dxa"/>
            <w:vAlign w:val="center"/>
          </w:tcPr>
          <w:p>
            <w:pPr>
              <w:pStyle w:val="0"/>
              <w:jc w:val="center"/>
            </w:pPr>
            <w:r>
              <w:rPr>
                <w:sz w:val="20"/>
              </w:rPr>
              <w:t xml:space="preserve">-</w:t>
            </w:r>
          </w:p>
        </w:tc>
        <w:tc>
          <w:tcPr>
            <w:tcW w:w="2150" w:type="dxa"/>
            <w:vAlign w:val="center"/>
          </w:tcPr>
          <w:p>
            <w:pPr>
              <w:pStyle w:val="0"/>
              <w:jc w:val="center"/>
            </w:pPr>
            <w:r>
              <w:rPr>
                <w:sz w:val="20"/>
              </w:rPr>
              <w:t xml:space="preserve">-</w:t>
            </w:r>
          </w:p>
        </w:tc>
      </w:tr>
      <w:tr>
        <w:tc>
          <w:tcPr>
            <w:tcW w:w="1361" w:type="dxa"/>
          </w:tcPr>
          <w:p>
            <w:pPr>
              <w:pStyle w:val="0"/>
            </w:pPr>
            <w:r>
              <w:rPr>
                <w:sz w:val="20"/>
              </w:rPr>
              <w:t xml:space="preserve">4.j.k.l</w:t>
            </w:r>
          </w:p>
        </w:tc>
        <w:tc>
          <w:tcPr>
            <w:tcW w:w="3120" w:type="dxa"/>
            <w:vAlign w:val="bottom"/>
          </w:tcPr>
          <w:p>
            <w:pPr>
              <w:pStyle w:val="0"/>
              <w:jc w:val="both"/>
            </w:pPr>
            <w:r>
              <w:rPr>
                <w:sz w:val="20"/>
              </w:rP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от 3150 до 4000 кВА включительно (l = 12), свыше 4000 кВА (l = 13)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4.j.k.l.m</w:t>
            </w:r>
          </w:p>
        </w:tc>
        <w:tc>
          <w:tcPr>
            <w:tcW w:w="3120" w:type="dxa"/>
            <w:vAlign w:val="center"/>
          </w:tcPr>
          <w:p>
            <w:pPr>
              <w:pStyle w:val="0"/>
              <w:jc w:val="both"/>
            </w:pPr>
            <w:r>
              <w:rPr>
                <w:sz w:val="20"/>
              </w:rPr>
              <w:t xml:space="preserve">Столбового/мачтового типа (m = 1), шкафного или киоскового типа (m = 2), блочного типа (m = 3), встроенного типа (m = 4)</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5.</w:t>
            </w:r>
          </w:p>
        </w:tc>
        <w:tc>
          <w:tcPr>
            <w:tcW w:w="3120" w:type="dxa"/>
            <w:vAlign w:val="bottom"/>
          </w:tcPr>
          <w:p>
            <w:pPr>
              <w:pStyle w:val="0"/>
              <w:jc w:val="both"/>
            </w:pPr>
            <w:r>
              <w:rPr>
                <w:sz w:val="20"/>
              </w:rPr>
              <w:t xml:space="preserve">Строительство распределительных трансформаторных подстанций (РТП) с уровнем напряжения до 35 кВ</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w:t>
            </w:r>
          </w:p>
        </w:tc>
        <w:tc>
          <w:tcPr>
            <w:tcW w:w="3120" w:type="dxa"/>
            <w:vAlign w:val="bottom"/>
          </w:tcPr>
          <w:p>
            <w:pPr>
              <w:pStyle w:val="0"/>
              <w:jc w:val="both"/>
            </w:pPr>
            <w:r>
              <w:rPr>
                <w:sz w:val="20"/>
              </w:rPr>
              <w:t xml:space="preserve">Распределительные трансформаторные подстанции (РТП)</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w:t>
            </w:r>
          </w:p>
        </w:tc>
        <w:tc>
          <w:tcPr>
            <w:tcW w:w="3120" w:type="dxa"/>
            <w:vAlign w:val="bottom"/>
          </w:tcPr>
          <w:p>
            <w:pPr>
              <w:pStyle w:val="0"/>
              <w:jc w:val="both"/>
            </w:pPr>
            <w:r>
              <w:rPr>
                <w:sz w:val="20"/>
              </w:rPr>
              <w:t xml:space="preserve">Однотрансформаторные (k = 1), двухтрансформаторные и более (k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5.j.k.l</w:t>
            </w:r>
          </w:p>
        </w:tc>
        <w:tc>
          <w:tcPr>
            <w:tcW w:w="3120" w:type="dxa"/>
            <w:vAlign w:val="bottom"/>
          </w:tcPr>
          <w:p>
            <w:pPr>
              <w:pStyle w:val="0"/>
              <w:jc w:val="both"/>
            </w:pPr>
            <w:r>
              <w:rPr>
                <w:sz w:val="20"/>
              </w:rP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5.j.k.l.m</w:t>
            </w:r>
          </w:p>
        </w:tc>
        <w:tc>
          <w:tcPr>
            <w:tcW w:w="3120" w:type="dxa"/>
            <w:vAlign w:val="bottom"/>
          </w:tcPr>
          <w:p>
            <w:pPr>
              <w:pStyle w:val="0"/>
              <w:jc w:val="both"/>
            </w:pPr>
            <w:r>
              <w:rPr>
                <w:sz w:val="20"/>
              </w:rPr>
              <w:t xml:space="preserve">Открытого типа (m = 1), закрытого типа (m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vAlign w:val="center"/>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6.</w:t>
            </w:r>
          </w:p>
        </w:tc>
        <w:tc>
          <w:tcPr>
            <w:tcW w:w="3120" w:type="dxa"/>
            <w:vAlign w:val="bottom"/>
          </w:tcPr>
          <w:p>
            <w:pPr>
              <w:pStyle w:val="0"/>
              <w:jc w:val="both"/>
            </w:pPr>
            <w:r>
              <w:rPr>
                <w:sz w:val="20"/>
              </w:rPr>
              <w:t xml:space="preserve">Строительство центров питания, подстанций уровнем напряжения 35 кВ и выше (ПС)</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w:t>
            </w:r>
          </w:p>
        </w:tc>
        <w:tc>
          <w:tcPr>
            <w:tcW w:w="3120" w:type="dxa"/>
            <w:vAlign w:val="bottom"/>
          </w:tcPr>
          <w:p>
            <w:pPr>
              <w:pStyle w:val="0"/>
              <w:jc w:val="both"/>
            </w:pPr>
            <w:r>
              <w:rPr>
                <w:sz w:val="20"/>
              </w:rPr>
              <w:t xml:space="preserve">Однотрансформаторные (j = 1), двухтрансформаторные и более (j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6.j.k</w:t>
            </w:r>
          </w:p>
        </w:tc>
        <w:tc>
          <w:tcPr>
            <w:tcW w:w="3120" w:type="dxa"/>
            <w:vAlign w:val="bottom"/>
          </w:tcPr>
          <w:p>
            <w:pPr>
              <w:pStyle w:val="0"/>
              <w:jc w:val="both"/>
            </w:pPr>
            <w:r>
              <w:rPr>
                <w:sz w:val="20"/>
              </w:rPr>
              <w:t xml:space="preserve">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6.j.k.l</w:t>
            </w:r>
          </w:p>
        </w:tc>
        <w:tc>
          <w:tcPr>
            <w:tcW w:w="3120" w:type="dxa"/>
            <w:vAlign w:val="bottom"/>
          </w:tcPr>
          <w:p>
            <w:pPr>
              <w:pStyle w:val="0"/>
              <w:jc w:val="both"/>
            </w:pPr>
            <w:r>
              <w:rPr>
                <w:sz w:val="20"/>
              </w:rPr>
              <w:t xml:space="preserve">Открытого типа (l = 1), закрытого типа (l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r>
        <w:tc>
          <w:tcPr>
            <w:tcW w:w="1361" w:type="dxa"/>
          </w:tcPr>
          <w:p>
            <w:pPr>
              <w:pStyle w:val="0"/>
              <w:outlineLvl w:val="2"/>
            </w:pPr>
            <w:r>
              <w:rPr>
                <w:sz w:val="20"/>
              </w:rPr>
              <w:t xml:space="preserve">7.</w:t>
            </w:r>
          </w:p>
        </w:tc>
        <w:tc>
          <w:tcPr>
            <w:tcW w:w="3120" w:type="dxa"/>
            <w:vAlign w:val="bottom"/>
          </w:tcPr>
          <w:p>
            <w:pPr>
              <w:pStyle w:val="0"/>
              <w:jc w:val="both"/>
            </w:pPr>
            <w:r>
              <w:rPr>
                <w:sz w:val="20"/>
              </w:rPr>
              <w:t xml:space="preserve">Обеспечение средствами коммерческого учета электрической энергии (мощности)</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7.j</w:t>
            </w:r>
          </w:p>
        </w:tc>
        <w:tc>
          <w:tcPr>
            <w:tcW w:w="3120" w:type="dxa"/>
            <w:vAlign w:val="bottom"/>
          </w:tcPr>
          <w:p>
            <w:pPr>
              <w:pStyle w:val="0"/>
              <w:jc w:val="both"/>
            </w:pPr>
            <w:r>
              <w:rPr>
                <w:sz w:val="20"/>
              </w:rPr>
              <w:t xml:space="preserve">Однофазный (j = 1), трехфазный (j = 2)</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7.j.k</w:t>
            </w:r>
          </w:p>
        </w:tc>
        <w:tc>
          <w:tcPr>
            <w:tcW w:w="3120" w:type="dxa"/>
            <w:vAlign w:val="bottom"/>
          </w:tcPr>
          <w:p>
            <w:pPr>
              <w:pStyle w:val="0"/>
              <w:jc w:val="both"/>
            </w:pPr>
            <w:r>
              <w:rPr>
                <w:sz w:val="20"/>
              </w:rPr>
              <w:t xml:space="preserve">Прямого включения (k = 1), полукосвенного включения (k = 2), косвенного включения (k = 3)</w:t>
            </w:r>
          </w:p>
        </w:tc>
        <w:tc>
          <w:tcPr>
            <w:tcW w:w="1142" w:type="dxa"/>
          </w:tcPr>
          <w:p>
            <w:pPr>
              <w:pStyle w:val="0"/>
              <w:jc w:val="center"/>
            </w:pPr>
            <w:r>
              <w:rPr>
                <w:sz w:val="20"/>
              </w:rPr>
              <w:t xml:space="preserve">-</w:t>
            </w:r>
          </w:p>
        </w:tc>
        <w:tc>
          <w:tcPr>
            <w:tcW w:w="1642" w:type="dxa"/>
          </w:tcPr>
          <w:p>
            <w:pPr>
              <w:pStyle w:val="0"/>
              <w:jc w:val="center"/>
            </w:pPr>
            <w:r>
              <w:rPr>
                <w:sz w:val="20"/>
              </w:rPr>
              <w:t xml:space="preserve">-</w:t>
            </w:r>
          </w:p>
        </w:tc>
        <w:tc>
          <w:tcPr>
            <w:tcW w:w="2290" w:type="dxa"/>
          </w:tcPr>
          <w:p>
            <w:pPr>
              <w:pStyle w:val="0"/>
              <w:jc w:val="center"/>
            </w:pPr>
            <w:r>
              <w:rPr>
                <w:sz w:val="20"/>
              </w:rPr>
              <w:t xml:space="preserve">-</w:t>
            </w:r>
          </w:p>
        </w:tc>
        <w:tc>
          <w:tcPr>
            <w:tcW w:w="2016" w:type="dxa"/>
          </w:tcPr>
          <w:p>
            <w:pPr>
              <w:pStyle w:val="0"/>
              <w:jc w:val="center"/>
            </w:pPr>
            <w:r>
              <w:rPr>
                <w:sz w:val="20"/>
              </w:rPr>
              <w:t xml:space="preserve">-</w:t>
            </w:r>
          </w:p>
        </w:tc>
        <w:tc>
          <w:tcPr>
            <w:tcW w:w="2150" w:type="dxa"/>
          </w:tcPr>
          <w:p>
            <w:pPr>
              <w:pStyle w:val="0"/>
              <w:jc w:val="center"/>
            </w:pPr>
            <w:r>
              <w:rPr>
                <w:sz w:val="20"/>
              </w:rPr>
              <w:t xml:space="preserve">-</w:t>
            </w:r>
          </w:p>
        </w:tc>
      </w:tr>
      <w:tr>
        <w:tc>
          <w:tcPr>
            <w:tcW w:w="1361" w:type="dxa"/>
          </w:tcPr>
          <w:p>
            <w:pPr>
              <w:pStyle w:val="0"/>
            </w:pPr>
            <w:r>
              <w:rPr>
                <w:sz w:val="20"/>
              </w:rPr>
              <w:t xml:space="preserve">...</w:t>
            </w:r>
          </w:p>
        </w:tc>
        <w:tc>
          <w:tcPr>
            <w:tcW w:w="3120" w:type="dxa"/>
            <w:vAlign w:val="bottom"/>
          </w:tcPr>
          <w:p>
            <w:pPr>
              <w:pStyle w:val="0"/>
              <w:jc w:val="both"/>
            </w:pPr>
            <w:r>
              <w:rPr>
                <w:sz w:val="20"/>
              </w:rPr>
              <w:t xml:space="preserve">&lt;пообъектная расшифровка&gt;</w:t>
            </w:r>
          </w:p>
        </w:tc>
        <w:tc>
          <w:tcPr>
            <w:tcW w:w="1142" w:type="dxa"/>
          </w:tcPr>
          <w:p>
            <w:pPr>
              <w:pStyle w:val="0"/>
            </w:pPr>
            <w:r>
              <w:rPr>
                <w:sz w:val="20"/>
              </w:rPr>
            </w:r>
          </w:p>
        </w:tc>
        <w:tc>
          <w:tcPr>
            <w:tcW w:w="1642" w:type="dxa"/>
          </w:tcPr>
          <w:p>
            <w:pPr>
              <w:pStyle w:val="0"/>
            </w:pPr>
            <w:r>
              <w:rPr>
                <w:sz w:val="20"/>
              </w:rPr>
            </w:r>
          </w:p>
        </w:tc>
        <w:tc>
          <w:tcPr>
            <w:tcW w:w="2290" w:type="dxa"/>
          </w:tcPr>
          <w:p>
            <w:pPr>
              <w:pStyle w:val="0"/>
            </w:pPr>
            <w:r>
              <w:rPr>
                <w:sz w:val="20"/>
              </w:rPr>
            </w:r>
          </w:p>
        </w:tc>
        <w:tc>
          <w:tcPr>
            <w:tcW w:w="2016" w:type="dxa"/>
          </w:tcPr>
          <w:p>
            <w:pPr>
              <w:pStyle w:val="0"/>
            </w:pPr>
            <w:r>
              <w:rPr>
                <w:sz w:val="20"/>
              </w:rPr>
            </w:r>
          </w:p>
        </w:tc>
        <w:tc>
          <w:tcPr>
            <w:tcW w:w="2150" w:type="dxa"/>
          </w:tcPr>
          <w:p>
            <w:pPr>
              <w:pStyle w:val="0"/>
            </w:pPr>
            <w:r>
              <w:rPr>
                <w:sz w:val="20"/>
              </w:rPr>
            </w:r>
          </w:p>
        </w:tc>
      </w:tr>
    </w:tbl>
    <w:p>
      <w:pPr>
        <w:sectPr>
          <w:headerReference w:type="default" r:id="rId190"/>
          <w:headerReference w:type="first" r:id="rId190"/>
          <w:footerReference w:type="default" r:id="rId191"/>
          <w:footerReference w:type="first" r:id="rId19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732" w:name="P732"/>
    <w:bookmarkEnd w:id="732"/>
    <w:p>
      <w:pPr>
        <w:pStyle w:val="0"/>
        <w:jc w:val="center"/>
      </w:pPr>
      <w:r>
        <w:rPr>
          <w:sz w:val="20"/>
        </w:rPr>
        <w:t xml:space="preserve">Расходы</w:t>
      </w:r>
    </w:p>
    <w:p>
      <w:pPr>
        <w:pStyle w:val="0"/>
        <w:jc w:val="center"/>
      </w:pPr>
      <w:r>
        <w:rPr>
          <w:sz w:val="20"/>
        </w:rPr>
        <w:t xml:space="preserve">на выполнение мероприятий по технологическому присоединению,</w:t>
      </w:r>
    </w:p>
    <w:p>
      <w:pPr>
        <w:pStyle w:val="0"/>
        <w:jc w:val="center"/>
      </w:pPr>
      <w:r>
        <w:rPr>
          <w:sz w:val="20"/>
        </w:rPr>
        <w:t xml:space="preserve">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w:t>
      </w:r>
    </w:p>
    <w:p>
      <w:pPr>
        <w:pStyle w:val="0"/>
        <w:jc w:val="center"/>
      </w:pPr>
      <w:r>
        <w:rPr>
          <w:sz w:val="20"/>
        </w:rPr>
        <w:t xml:space="preserve">указаний по определению размера платы за технологическое</w:t>
      </w:r>
    </w:p>
    <w:p>
      <w:pPr>
        <w:pStyle w:val="0"/>
        <w:jc w:val="center"/>
      </w:pPr>
      <w:r>
        <w:rPr>
          <w:sz w:val="20"/>
        </w:rPr>
        <w:t xml:space="preserve">присоединение к электрическим сетям, за 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4422"/>
        <w:gridCol w:w="1587"/>
        <w:gridCol w:w="1701"/>
        <w:gridCol w:w="1871"/>
        <w:gridCol w:w="1928"/>
      </w:tblGrid>
      <w:tr>
        <w:tc>
          <w:tcPr>
            <w:tcW w:w="686" w:type="dxa"/>
            <w:vMerge w:val="restart"/>
          </w:tcPr>
          <w:p>
            <w:pPr>
              <w:pStyle w:val="0"/>
              <w:jc w:val="center"/>
            </w:pPr>
            <w:r>
              <w:rPr>
                <w:sz w:val="20"/>
              </w:rPr>
              <w:t xml:space="preserve">N п/п</w:t>
            </w:r>
          </w:p>
        </w:tc>
        <w:tc>
          <w:tcPr>
            <w:tcW w:w="4422" w:type="dxa"/>
            <w:vMerge w:val="restart"/>
          </w:tcPr>
          <w:p>
            <w:pPr>
              <w:pStyle w:val="0"/>
              <w:jc w:val="center"/>
            </w:pPr>
            <w:r>
              <w:rPr>
                <w:sz w:val="20"/>
              </w:rPr>
              <w:t xml:space="preserve">Наименование мероприятий</w:t>
            </w:r>
          </w:p>
        </w:tc>
        <w:tc>
          <w:tcPr>
            <w:gridSpan w:val="3"/>
            <w:tcW w:w="5159" w:type="dxa"/>
          </w:tcPr>
          <w:p>
            <w:pPr>
              <w:pStyle w:val="0"/>
              <w:jc w:val="center"/>
            </w:pPr>
            <w:r>
              <w:rPr>
                <w:sz w:val="20"/>
              </w:rPr>
              <w:t xml:space="preserve">Информация для расчета стандартизированной тарифной ставки С</w:t>
            </w:r>
            <w:r>
              <w:rPr>
                <w:sz w:val="20"/>
                <w:vertAlign w:val="subscript"/>
              </w:rPr>
              <w:t xml:space="preserve">1</w:t>
            </w:r>
          </w:p>
        </w:tc>
        <w:tc>
          <w:tcPr>
            <w:tcW w:w="1928" w:type="dxa"/>
          </w:tcPr>
          <w:p>
            <w:pPr>
              <w:pStyle w:val="0"/>
            </w:pPr>
            <w:r>
              <w:rPr>
                <w:sz w:val="20"/>
              </w:rPr>
            </w:r>
          </w:p>
        </w:tc>
      </w:tr>
      <w:tr>
        <w:tc>
          <w:tcPr>
            <w:vMerge w:val="continue"/>
          </w:tcPr>
          <w:p/>
        </w:tc>
        <w:tc>
          <w:tcPr>
            <w:vMerge w:val="continue"/>
          </w:tcPr>
          <w:p/>
        </w:tc>
        <w:tc>
          <w:tcPr>
            <w:tcW w:w="1587" w:type="dxa"/>
          </w:tcPr>
          <w:p>
            <w:pPr>
              <w:pStyle w:val="0"/>
              <w:jc w:val="center"/>
            </w:pPr>
            <w:r>
              <w:rPr>
                <w:sz w:val="20"/>
              </w:rPr>
              <w:t xml:space="preserve">Расходы по каждому мероприятию (руб.)</w:t>
            </w:r>
          </w:p>
        </w:tc>
        <w:tc>
          <w:tcPr>
            <w:tcW w:w="1701" w:type="dxa"/>
          </w:tcPr>
          <w:p>
            <w:pPr>
              <w:pStyle w:val="0"/>
              <w:jc w:val="center"/>
            </w:pPr>
            <w:r>
              <w:rPr>
                <w:sz w:val="20"/>
              </w:rPr>
              <w:t xml:space="preserve">Количество технологических присоединений (шт.)</w:t>
            </w:r>
          </w:p>
        </w:tc>
        <w:tc>
          <w:tcPr>
            <w:tcW w:w="1871" w:type="dxa"/>
          </w:tcPr>
          <w:p>
            <w:pPr>
              <w:pStyle w:val="0"/>
              <w:jc w:val="center"/>
            </w:pPr>
            <w:r>
              <w:rPr>
                <w:sz w:val="20"/>
              </w:rPr>
              <w:t xml:space="preserve">Объем максимальной мощности (кВт)</w:t>
            </w:r>
          </w:p>
        </w:tc>
        <w:tc>
          <w:tcPr>
            <w:tcW w:w="1928" w:type="dxa"/>
          </w:tcPr>
          <w:p>
            <w:pPr>
              <w:pStyle w:val="0"/>
              <w:jc w:val="center"/>
            </w:pPr>
            <w:r>
              <w:rPr>
                <w:sz w:val="20"/>
              </w:rPr>
              <w:t xml:space="preserve">Расходы на одно присоединение (руб. на одно ТП)</w:t>
            </w:r>
          </w:p>
        </w:tc>
      </w:tr>
      <w:tr>
        <w:tc>
          <w:tcPr>
            <w:tcW w:w="686" w:type="dxa"/>
          </w:tcPr>
          <w:p>
            <w:pPr>
              <w:pStyle w:val="0"/>
              <w:jc w:val="center"/>
            </w:pPr>
            <w:r>
              <w:rPr>
                <w:sz w:val="20"/>
              </w:rPr>
              <w:t xml:space="preserve">1</w:t>
            </w:r>
          </w:p>
        </w:tc>
        <w:tc>
          <w:tcPr>
            <w:tcW w:w="4422" w:type="dxa"/>
          </w:tcPr>
          <w:p>
            <w:pPr>
              <w:pStyle w:val="0"/>
              <w:jc w:val="center"/>
            </w:pPr>
            <w:r>
              <w:rPr>
                <w:sz w:val="20"/>
              </w:rPr>
              <w:t xml:space="preserve">2</w:t>
            </w:r>
          </w:p>
        </w:tc>
        <w:tc>
          <w:tcPr>
            <w:tcW w:w="1587" w:type="dxa"/>
          </w:tcPr>
          <w:p>
            <w:pPr>
              <w:pStyle w:val="0"/>
              <w:jc w:val="center"/>
            </w:pPr>
            <w:r>
              <w:rPr>
                <w:sz w:val="20"/>
              </w:rPr>
              <w:t xml:space="preserve">3</w:t>
            </w:r>
          </w:p>
        </w:tc>
        <w:tc>
          <w:tcPr>
            <w:tcW w:w="1701" w:type="dxa"/>
          </w:tcPr>
          <w:p>
            <w:pPr>
              <w:pStyle w:val="0"/>
              <w:jc w:val="center"/>
            </w:pPr>
            <w:r>
              <w:rPr>
                <w:sz w:val="20"/>
              </w:rPr>
              <w:t xml:space="preserve">4</w:t>
            </w:r>
          </w:p>
        </w:tc>
        <w:tc>
          <w:tcPr>
            <w:tcW w:w="1871" w:type="dxa"/>
          </w:tcPr>
          <w:p>
            <w:pPr>
              <w:pStyle w:val="0"/>
              <w:jc w:val="center"/>
            </w:pPr>
            <w:r>
              <w:rPr>
                <w:sz w:val="20"/>
              </w:rPr>
              <w:t xml:space="preserve">5</w:t>
            </w:r>
          </w:p>
        </w:tc>
        <w:tc>
          <w:tcPr>
            <w:tcW w:w="1928" w:type="dxa"/>
          </w:tcPr>
          <w:p>
            <w:pPr>
              <w:pStyle w:val="0"/>
              <w:jc w:val="center"/>
            </w:pPr>
            <w:r>
              <w:rPr>
                <w:sz w:val="20"/>
              </w:rPr>
              <w:t xml:space="preserve">6</w:t>
            </w:r>
          </w:p>
        </w:tc>
      </w:tr>
      <w:tr>
        <w:tc>
          <w:tcPr>
            <w:tcW w:w="686" w:type="dxa"/>
          </w:tcPr>
          <w:p>
            <w:pPr>
              <w:pStyle w:val="0"/>
              <w:jc w:val="center"/>
            </w:pPr>
            <w:r>
              <w:rPr>
                <w:sz w:val="20"/>
              </w:rPr>
              <w:t xml:space="preserve">1.</w:t>
            </w:r>
          </w:p>
        </w:tc>
        <w:tc>
          <w:tcPr>
            <w:tcW w:w="4422" w:type="dxa"/>
          </w:tcPr>
          <w:p>
            <w:pPr>
              <w:pStyle w:val="0"/>
            </w:pPr>
            <w:r>
              <w:rPr>
                <w:sz w:val="20"/>
              </w:rPr>
              <w:t xml:space="preserve">Подготовка и выдача сетевой организацией технических условий Заявителю</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r>
        <w:tc>
          <w:tcPr>
            <w:tcW w:w="686" w:type="dxa"/>
          </w:tcPr>
          <w:p>
            <w:pPr>
              <w:pStyle w:val="0"/>
              <w:jc w:val="center"/>
            </w:pPr>
            <w:r>
              <w:rPr>
                <w:sz w:val="20"/>
              </w:rPr>
              <w:t xml:space="preserve">2.</w:t>
            </w:r>
          </w:p>
        </w:tc>
        <w:tc>
          <w:tcPr>
            <w:tcW w:w="4422" w:type="dxa"/>
          </w:tcPr>
          <w:p>
            <w:pPr>
              <w:pStyle w:val="0"/>
            </w:pPr>
            <w:r>
              <w:rPr>
                <w:sz w:val="20"/>
              </w:rPr>
              <w:t xml:space="preserve">Проверка сетевой организацией выполнения технических условий Заявителем</w:t>
            </w:r>
          </w:p>
        </w:tc>
        <w:tc>
          <w:tcPr>
            <w:tcW w:w="1587" w:type="dxa"/>
          </w:tcPr>
          <w:p>
            <w:pPr>
              <w:pStyle w:val="0"/>
            </w:pPr>
            <w:r>
              <w:rPr>
                <w:sz w:val="20"/>
              </w:rPr>
              <w:t xml:space="preserve">-</w:t>
            </w:r>
          </w:p>
        </w:tc>
        <w:tc>
          <w:tcPr>
            <w:tcW w:w="1701" w:type="dxa"/>
          </w:tcPr>
          <w:p>
            <w:pPr>
              <w:pStyle w:val="0"/>
            </w:pPr>
            <w:r>
              <w:rPr>
                <w:sz w:val="20"/>
              </w:rPr>
              <w:t xml:space="preserve">-</w:t>
            </w:r>
          </w:p>
        </w:tc>
        <w:tc>
          <w:tcPr>
            <w:tcW w:w="1871" w:type="dxa"/>
          </w:tcPr>
          <w:p>
            <w:pPr>
              <w:pStyle w:val="0"/>
            </w:pPr>
            <w:r>
              <w:rPr>
                <w:sz w:val="20"/>
              </w:rPr>
              <w:t xml:space="preserve">-</w:t>
            </w:r>
          </w:p>
        </w:tc>
        <w:tc>
          <w:tcPr>
            <w:tcW w:w="1928" w:type="dxa"/>
          </w:tcPr>
          <w:p>
            <w:pPr>
              <w:pStyle w:val="0"/>
            </w:pPr>
            <w:r>
              <w:rPr>
                <w:sz w:val="20"/>
              </w:rPr>
              <w:t xml:space="preserve">-</w:t>
            </w:r>
          </w:p>
        </w:tc>
      </w:tr>
      <w:tr>
        <w:tc>
          <w:tcPr>
            <w:tcW w:w="686" w:type="dxa"/>
          </w:tcPr>
          <w:p>
            <w:pPr>
              <w:pStyle w:val="0"/>
              <w:jc w:val="center"/>
            </w:pPr>
            <w:r>
              <w:rPr>
                <w:sz w:val="20"/>
              </w:rPr>
              <w:t xml:space="preserve">2.1</w:t>
            </w:r>
          </w:p>
        </w:tc>
        <w:tc>
          <w:tcPr>
            <w:tcW w:w="4422" w:type="dxa"/>
          </w:tcPr>
          <w:p>
            <w:pPr>
              <w:pStyle w:val="0"/>
              <w:jc w:val="both"/>
            </w:pPr>
            <w:r>
              <w:rPr>
                <w:sz w:val="20"/>
              </w:rPr>
              <w:t xml:space="preserve">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r>
        <w:tc>
          <w:tcPr>
            <w:tcW w:w="686" w:type="dxa"/>
          </w:tcPr>
          <w:p>
            <w:pPr>
              <w:pStyle w:val="0"/>
              <w:jc w:val="center"/>
            </w:pPr>
            <w:r>
              <w:rPr>
                <w:sz w:val="20"/>
              </w:rPr>
              <w:t xml:space="preserve">2.2</w:t>
            </w:r>
          </w:p>
        </w:tc>
        <w:tc>
          <w:tcPr>
            <w:tcW w:w="4422" w:type="dxa"/>
          </w:tcPr>
          <w:p>
            <w:pPr>
              <w:pStyle w:val="0"/>
              <w:jc w:val="both"/>
            </w:pPr>
            <w:r>
              <w:rPr>
                <w:sz w:val="20"/>
              </w:rPr>
              <w:t xml:space="preserve">Проверка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c>
          <w:tcPr>
            <w:tcW w:w="1587" w:type="dxa"/>
          </w:tcPr>
          <w:p>
            <w:pPr>
              <w:pStyle w:val="0"/>
            </w:pPr>
            <w:r>
              <w:rPr>
                <w:sz w:val="20"/>
              </w:rPr>
            </w:r>
          </w:p>
        </w:tc>
        <w:tc>
          <w:tcPr>
            <w:tcW w:w="1701" w:type="dxa"/>
          </w:tcPr>
          <w:p>
            <w:pPr>
              <w:pStyle w:val="0"/>
            </w:pPr>
            <w:r>
              <w:rPr>
                <w:sz w:val="20"/>
              </w:rPr>
            </w:r>
          </w:p>
        </w:tc>
        <w:tc>
          <w:tcPr>
            <w:tcW w:w="1871" w:type="dxa"/>
          </w:tcPr>
          <w:p>
            <w:pPr>
              <w:pStyle w:val="0"/>
            </w:pPr>
            <w:r>
              <w:rPr>
                <w:sz w:val="20"/>
              </w:rPr>
            </w:r>
          </w:p>
        </w:tc>
        <w:tc>
          <w:tcPr>
            <w:tcW w:w="1928" w:type="dxa"/>
          </w:tcPr>
          <w:p>
            <w:pPr>
              <w:pStyle w:val="0"/>
            </w:pPr>
            <w:r>
              <w:rPr>
                <w:sz w:val="20"/>
              </w:rPr>
            </w:r>
          </w:p>
        </w:tc>
      </w:tr>
    </w:tbl>
    <w:p>
      <w:pPr>
        <w:sectPr>
          <w:headerReference w:type="default" r:id="rId190"/>
          <w:headerReference w:type="first" r:id="rId190"/>
          <w:footerReference w:type="default" r:id="rId191"/>
          <w:footerReference w:type="first" r:id="rId19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0"/>
        <w:jc w:val="center"/>
      </w:pPr>
      <w:r>
        <w:rPr>
          <w:sz w:val="20"/>
        </w:rPr>
        <w:t xml:space="preserve">Расчет</w:t>
      </w:r>
    </w:p>
    <w:p>
      <w:pPr>
        <w:pStyle w:val="0"/>
        <w:jc w:val="center"/>
      </w:pPr>
      <w:r>
        <w:rPr>
          <w:sz w:val="20"/>
        </w:rPr>
        <w:t xml:space="preserve">фактических расходов на выполнение мероприятий</w:t>
      </w:r>
    </w:p>
    <w:p>
      <w:pPr>
        <w:pStyle w:val="0"/>
        <w:jc w:val="center"/>
      </w:pPr>
      <w:r>
        <w:rPr>
          <w:sz w:val="20"/>
        </w:rPr>
        <w:t xml:space="preserve">по технологическому присоединению, предусмотренных</w:t>
      </w:r>
    </w:p>
    <w:p>
      <w:pPr>
        <w:pStyle w:val="0"/>
        <w:jc w:val="center"/>
      </w:pP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w:t>
      </w:r>
    </w:p>
    <w:p>
      <w:pPr>
        <w:pStyle w:val="0"/>
        <w:jc w:val="center"/>
      </w:pPr>
      <w:r>
        <w:rPr>
          <w:sz w:val="20"/>
        </w:rPr>
        <w:t xml:space="preserve">по определению размера платы за технологическое</w:t>
      </w:r>
    </w:p>
    <w:p>
      <w:pPr>
        <w:pStyle w:val="0"/>
        <w:jc w:val="center"/>
      </w:pPr>
      <w:r>
        <w:rPr>
          <w:sz w:val="20"/>
        </w:rPr>
        <w:t xml:space="preserve">присоединение к электрическим сетям, за ____ год</w:t>
      </w:r>
    </w:p>
    <w:p>
      <w:pPr>
        <w:pStyle w:val="0"/>
        <w:jc w:val="both"/>
      </w:pPr>
      <w:r>
        <w:rPr>
          <w:sz w:val="20"/>
        </w:rPr>
      </w:r>
    </w:p>
    <w:p>
      <w:pPr>
        <w:pStyle w:val="0"/>
        <w:jc w:val="center"/>
      </w:pPr>
      <w:r>
        <w:rPr>
          <w:sz w:val="20"/>
        </w:rPr>
        <w:t xml:space="preserve">(выполняется отдельно по мероприятиям, предусмотренным</w:t>
      </w:r>
    </w:p>
    <w:p>
      <w:pPr>
        <w:pStyle w:val="0"/>
        <w:jc w:val="center"/>
      </w:pP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 указаний</w:t>
      </w:r>
    </w:p>
    <w:p>
      <w:pPr>
        <w:pStyle w:val="0"/>
        <w:jc w:val="center"/>
      </w:pPr>
      <w:r>
        <w:rPr>
          <w:sz w:val="20"/>
        </w:rPr>
        <w:t xml:space="preserve">по определению размера платы за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742"/>
        <w:gridCol w:w="1474"/>
        <w:gridCol w:w="1531"/>
        <w:gridCol w:w="1361"/>
      </w:tblGrid>
      <w:tr>
        <w:tc>
          <w:tcPr>
            <w:tcW w:w="964" w:type="dxa"/>
          </w:tcPr>
          <w:p>
            <w:pPr>
              <w:pStyle w:val="0"/>
              <w:jc w:val="center"/>
            </w:pPr>
            <w:r>
              <w:rPr>
                <w:sz w:val="20"/>
              </w:rPr>
              <w:t xml:space="preserve">N п/п</w:t>
            </w:r>
          </w:p>
        </w:tc>
        <w:tc>
          <w:tcPr>
            <w:tcW w:w="3742" w:type="dxa"/>
          </w:tcPr>
          <w:p>
            <w:pPr>
              <w:pStyle w:val="0"/>
              <w:jc w:val="center"/>
            </w:pPr>
            <w:r>
              <w:rPr>
                <w:sz w:val="20"/>
              </w:rPr>
              <w:t xml:space="preserve">Показатели</w:t>
            </w:r>
          </w:p>
        </w:tc>
        <w:tc>
          <w:tcPr>
            <w:tcW w:w="1474" w:type="dxa"/>
          </w:tcPr>
          <w:p>
            <w:pPr>
              <w:pStyle w:val="0"/>
              <w:jc w:val="center"/>
            </w:pPr>
            <w:r>
              <w:rPr>
                <w:sz w:val="20"/>
              </w:rPr>
              <w:t xml:space="preserve">Данные за предыдущий период регулирования (n-2)</w:t>
            </w:r>
          </w:p>
        </w:tc>
        <w:tc>
          <w:tcPr>
            <w:tcW w:w="1531" w:type="dxa"/>
            <w:vAlign w:val="center"/>
          </w:tcPr>
          <w:p>
            <w:pPr>
              <w:pStyle w:val="0"/>
              <w:jc w:val="center"/>
            </w:pPr>
            <w:r>
              <w:rPr>
                <w:sz w:val="20"/>
              </w:rPr>
              <w:t xml:space="preserve">Данные за год (n-3), предшествующий предыдущему периоду регулирования</w:t>
            </w:r>
          </w:p>
        </w:tc>
        <w:tc>
          <w:tcPr>
            <w:tcW w:w="1361" w:type="dxa"/>
          </w:tcPr>
          <w:p>
            <w:pPr>
              <w:pStyle w:val="0"/>
              <w:jc w:val="center"/>
            </w:pPr>
            <w:r>
              <w:rPr>
                <w:sz w:val="20"/>
              </w:rPr>
              <w:t xml:space="preserve">Данные за год (n-4), предшествующий году (n-3)</w:t>
            </w:r>
          </w:p>
        </w:tc>
      </w:tr>
      <w:tr>
        <w:tc>
          <w:tcPr>
            <w:tcW w:w="964"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r>
      <w:tr>
        <w:tc>
          <w:tcPr>
            <w:tcW w:w="964" w:type="dxa"/>
          </w:tcPr>
          <w:p>
            <w:pPr>
              <w:pStyle w:val="0"/>
            </w:pPr>
            <w:r>
              <w:rPr>
                <w:sz w:val="20"/>
              </w:rPr>
              <w:t xml:space="preserve">1.</w:t>
            </w:r>
          </w:p>
        </w:tc>
        <w:tc>
          <w:tcPr>
            <w:tcW w:w="3742" w:type="dxa"/>
          </w:tcPr>
          <w:p>
            <w:pPr>
              <w:pStyle w:val="0"/>
            </w:pPr>
            <w:r>
              <w:rPr>
                <w:sz w:val="20"/>
              </w:rPr>
              <w:t xml:space="preserve">Расходы по выполнению мероприятий по технологическому присоединению,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center"/>
          </w:tcPr>
          <w:p>
            <w:pPr>
              <w:pStyle w:val="0"/>
            </w:pPr>
            <w:r>
              <w:rPr>
                <w:sz w:val="20"/>
              </w:rPr>
              <w:t xml:space="preserve">1.1.</w:t>
            </w:r>
          </w:p>
        </w:tc>
        <w:tc>
          <w:tcPr>
            <w:tcW w:w="3742" w:type="dxa"/>
          </w:tcPr>
          <w:p>
            <w:pPr>
              <w:pStyle w:val="0"/>
            </w:pPr>
            <w:r>
              <w:rPr>
                <w:sz w:val="20"/>
              </w:rPr>
              <w:t xml:space="preserve">Вспомогательные материалы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bottom"/>
          </w:tcPr>
          <w:p>
            <w:pPr>
              <w:pStyle w:val="0"/>
            </w:pPr>
            <w:r>
              <w:rPr>
                <w:sz w:val="20"/>
              </w:rPr>
              <w:t xml:space="preserve">1.2.</w:t>
            </w:r>
          </w:p>
        </w:tc>
        <w:tc>
          <w:tcPr>
            <w:tcW w:w="3742" w:type="dxa"/>
          </w:tcPr>
          <w:p>
            <w:pPr>
              <w:pStyle w:val="0"/>
            </w:pPr>
            <w:r>
              <w:rPr>
                <w:sz w:val="20"/>
              </w:rPr>
              <w:t xml:space="preserve">Энергия на хозяйственные нужды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bottom"/>
          </w:tcPr>
          <w:p>
            <w:pPr>
              <w:pStyle w:val="0"/>
            </w:pPr>
            <w:r>
              <w:rPr>
                <w:sz w:val="20"/>
              </w:rPr>
              <w:t xml:space="preserve">1.3.</w:t>
            </w:r>
          </w:p>
        </w:tc>
        <w:tc>
          <w:tcPr>
            <w:tcW w:w="3742" w:type="dxa"/>
          </w:tcPr>
          <w:p>
            <w:pPr>
              <w:pStyle w:val="0"/>
            </w:pPr>
            <w:r>
              <w:rPr>
                <w:sz w:val="20"/>
              </w:rPr>
              <w:t xml:space="preserve">Оплата труда ППП</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vAlign w:val="center"/>
          </w:tcPr>
          <w:p>
            <w:pPr>
              <w:pStyle w:val="0"/>
            </w:pPr>
            <w:r>
              <w:rPr>
                <w:sz w:val="20"/>
              </w:rPr>
              <w:t xml:space="preserve">1.4.</w:t>
            </w:r>
          </w:p>
        </w:tc>
        <w:tc>
          <w:tcPr>
            <w:tcW w:w="3742" w:type="dxa"/>
          </w:tcPr>
          <w:p>
            <w:pPr>
              <w:pStyle w:val="0"/>
            </w:pPr>
            <w:r>
              <w:rPr>
                <w:sz w:val="20"/>
              </w:rPr>
              <w:t xml:space="preserve">Отчисления на страховые взносы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w:t>
            </w:r>
          </w:p>
        </w:tc>
        <w:tc>
          <w:tcPr>
            <w:tcW w:w="3742" w:type="dxa"/>
          </w:tcPr>
          <w:p>
            <w:pPr>
              <w:pStyle w:val="0"/>
            </w:pPr>
            <w:r>
              <w:rPr>
                <w:sz w:val="20"/>
              </w:rPr>
              <w:t xml:space="preserve">Прочие расходы, всего, в том числе:</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1.5.1.</w:t>
            </w:r>
          </w:p>
        </w:tc>
        <w:tc>
          <w:tcPr>
            <w:tcW w:w="3742" w:type="dxa"/>
          </w:tcPr>
          <w:p>
            <w:pPr>
              <w:pStyle w:val="0"/>
            </w:pPr>
            <w:r>
              <w:rPr>
                <w:sz w:val="20"/>
              </w:rPr>
              <w:t xml:space="preserve">- работы и услуги производственного характера</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1.5.2.</w:t>
            </w:r>
          </w:p>
        </w:tc>
        <w:tc>
          <w:tcPr>
            <w:tcW w:w="3742" w:type="dxa"/>
          </w:tcPr>
          <w:p>
            <w:pPr>
              <w:pStyle w:val="0"/>
            </w:pPr>
            <w:r>
              <w:rPr>
                <w:sz w:val="20"/>
              </w:rPr>
              <w:t xml:space="preserve">- налоги и сборы, уменьшающие налогооблагаемую базу на прибыль организаций,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w:t>
            </w:r>
          </w:p>
        </w:tc>
        <w:tc>
          <w:tcPr>
            <w:tcW w:w="3742" w:type="dxa"/>
          </w:tcPr>
          <w:p>
            <w:pPr>
              <w:pStyle w:val="0"/>
            </w:pPr>
            <w:r>
              <w:rPr>
                <w:sz w:val="20"/>
              </w:rPr>
              <w:t xml:space="preserve">- работы и услуги непроизводственного характера, в т.ч.:</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1.5.3.1.</w:t>
            </w:r>
          </w:p>
        </w:tc>
        <w:tc>
          <w:tcPr>
            <w:tcW w:w="3742" w:type="dxa"/>
          </w:tcPr>
          <w:p>
            <w:pPr>
              <w:pStyle w:val="0"/>
            </w:pPr>
            <w:r>
              <w:rPr>
                <w:sz w:val="20"/>
              </w:rPr>
              <w:t xml:space="preserve">услуги связи</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1.5.3.2.</w:t>
            </w:r>
          </w:p>
        </w:tc>
        <w:tc>
          <w:tcPr>
            <w:tcW w:w="3742" w:type="dxa"/>
          </w:tcPr>
          <w:p>
            <w:pPr>
              <w:pStyle w:val="0"/>
            </w:pPr>
            <w:r>
              <w:rPr>
                <w:sz w:val="20"/>
              </w:rPr>
              <w:t xml:space="preserve">расходы на охрану и пожарную безопасность</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1.5.3.3.</w:t>
            </w:r>
          </w:p>
        </w:tc>
        <w:tc>
          <w:tcPr>
            <w:tcW w:w="3742" w:type="dxa"/>
          </w:tcPr>
          <w:p>
            <w:pPr>
              <w:pStyle w:val="0"/>
            </w:pPr>
            <w:r>
              <w:rPr>
                <w:sz w:val="20"/>
              </w:rPr>
              <w:t xml:space="preserve">расходы на информационное обслуживание, иные услуги, связанные с деятельностью по технологическому присоединению</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1.5.3.4.</w:t>
            </w:r>
          </w:p>
        </w:tc>
        <w:tc>
          <w:tcPr>
            <w:tcW w:w="3742" w:type="dxa"/>
          </w:tcPr>
          <w:p>
            <w:pPr>
              <w:pStyle w:val="0"/>
            </w:pPr>
            <w:r>
              <w:rPr>
                <w:sz w:val="20"/>
              </w:rPr>
              <w:t xml:space="preserve">плата за аренду имущества</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1.5.3.5.</w:t>
            </w:r>
          </w:p>
        </w:tc>
        <w:tc>
          <w:tcPr>
            <w:tcW w:w="3742" w:type="dxa"/>
          </w:tcPr>
          <w:p>
            <w:pPr>
              <w:pStyle w:val="0"/>
            </w:pPr>
            <w:r>
              <w:rPr>
                <w:sz w:val="20"/>
              </w:rPr>
              <w:t xml:space="preserve">другие прочие расходы, связанные с производством и реализацией</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w:t>
            </w:r>
          </w:p>
        </w:tc>
        <w:tc>
          <w:tcPr>
            <w:tcW w:w="3742" w:type="dxa"/>
          </w:tcPr>
          <w:p>
            <w:pPr>
              <w:pStyle w:val="0"/>
            </w:pPr>
            <w:r>
              <w:rPr>
                <w:sz w:val="20"/>
              </w:rPr>
              <w:t xml:space="preserve">Внереализационные расходы, всего</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1.6.1.</w:t>
            </w:r>
          </w:p>
        </w:tc>
        <w:tc>
          <w:tcPr>
            <w:tcW w:w="3742" w:type="dxa"/>
          </w:tcPr>
          <w:p>
            <w:pPr>
              <w:pStyle w:val="0"/>
            </w:pPr>
            <w:r>
              <w:rPr>
                <w:sz w:val="20"/>
              </w:rPr>
              <w:t xml:space="preserve">- расходы на услуги банков</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1.6.2.</w:t>
            </w:r>
          </w:p>
        </w:tc>
        <w:tc>
          <w:tcPr>
            <w:tcW w:w="3742" w:type="dxa"/>
          </w:tcPr>
          <w:p>
            <w:pPr>
              <w:pStyle w:val="0"/>
            </w:pPr>
            <w:r>
              <w:rPr>
                <w:sz w:val="20"/>
              </w:rPr>
              <w:t xml:space="preserve">- проценты за пользование кредитом</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1.6.3.</w:t>
            </w:r>
          </w:p>
        </w:tc>
        <w:tc>
          <w:tcPr>
            <w:tcW w:w="3742" w:type="dxa"/>
          </w:tcPr>
          <w:p>
            <w:pPr>
              <w:pStyle w:val="0"/>
            </w:pPr>
            <w:r>
              <w:rPr>
                <w:sz w:val="20"/>
              </w:rPr>
              <w:t xml:space="preserve">- прочие обоснованные расходы</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r>
        <w:tc>
          <w:tcPr>
            <w:tcW w:w="964" w:type="dxa"/>
          </w:tcPr>
          <w:p>
            <w:pPr>
              <w:pStyle w:val="0"/>
            </w:pPr>
            <w:r>
              <w:rPr>
                <w:sz w:val="20"/>
              </w:rPr>
              <w:t xml:space="preserve">1.6.4.</w:t>
            </w:r>
          </w:p>
        </w:tc>
        <w:tc>
          <w:tcPr>
            <w:tcW w:w="3742" w:type="dxa"/>
          </w:tcPr>
          <w:p>
            <w:pPr>
              <w:pStyle w:val="0"/>
            </w:pPr>
            <w:r>
              <w:rPr>
                <w:sz w:val="20"/>
              </w:rPr>
              <w:t xml:space="preserve">- денежные выплаты социального характера (по Коллективному договору)</w:t>
            </w:r>
          </w:p>
        </w:tc>
        <w:tc>
          <w:tcPr>
            <w:tcW w:w="1474" w:type="dxa"/>
          </w:tcPr>
          <w:p>
            <w:pPr>
              <w:pStyle w:val="0"/>
            </w:pPr>
            <w:r>
              <w:rPr>
                <w:sz w:val="20"/>
              </w:rPr>
            </w:r>
          </w:p>
        </w:tc>
        <w:tc>
          <w:tcPr>
            <w:tcW w:w="1531" w:type="dxa"/>
          </w:tcPr>
          <w:p>
            <w:pPr>
              <w:pStyle w:val="0"/>
            </w:pPr>
            <w:r>
              <w:rPr>
                <w:sz w:val="20"/>
              </w:rPr>
            </w:r>
          </w:p>
        </w:tc>
        <w:tc>
          <w:tcPr>
            <w:tcW w:w="136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20" w:name="P920"/>
    <w:bookmarkEnd w:id="920"/>
    <w:p>
      <w:pPr>
        <w:pStyle w:val="0"/>
        <w:jc w:val="center"/>
      </w:pPr>
      <w:r>
        <w:rPr>
          <w:sz w:val="20"/>
        </w:rPr>
        <w:t xml:space="preserve">Результаты</w:t>
      </w:r>
    </w:p>
    <w:p>
      <w:pPr>
        <w:pStyle w:val="0"/>
        <w:jc w:val="center"/>
      </w:pPr>
      <w:r>
        <w:rPr>
          <w:sz w:val="20"/>
        </w:rPr>
        <w:t xml:space="preserve">расчета экономически обоснованных расходов</w:t>
      </w:r>
    </w:p>
    <w:p>
      <w:pPr>
        <w:pStyle w:val="0"/>
        <w:jc w:val="center"/>
      </w:pPr>
      <w:r>
        <w:rPr>
          <w:sz w:val="20"/>
        </w:rPr>
        <w:t xml:space="preserve">на выполнение мероприятий по технологическому присоединению,</w:t>
      </w:r>
    </w:p>
    <w:p>
      <w:pPr>
        <w:pStyle w:val="0"/>
        <w:jc w:val="center"/>
      </w:pPr>
      <w:r>
        <w:rPr>
          <w:sz w:val="20"/>
        </w:rPr>
        <w:t xml:space="preserve">предусмотренных </w:t>
      </w:r>
      <w:hyperlink w:history="0" w:anchor="P89" w:tooltip="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w:r>
          <w:rPr>
            <w:sz w:val="20"/>
            <w:color w:val="0000ff"/>
          </w:rPr>
          <w:t xml:space="preserve">подпунктами "а"</w:t>
        </w:r>
      </w:hyperlink>
      <w:r>
        <w:rPr>
          <w:sz w:val="20"/>
        </w:rPr>
        <w:t xml:space="preserve"> и </w:t>
      </w:r>
      <w:hyperlink w:history="0" w:anchor="P91" w:tooltip="в) проверку сетевой организацией выполнения Заявителем технических условий в соответствии с разделом IX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пунктах 12(1), 13(2) - 13(5) и 14 Правил технологического присоединения (Собрание законодательства Российской Федерации, 2004, N 52, ст. 5525; 2014,...">
        <w:r>
          <w:rPr>
            <w:sz w:val="20"/>
            <w:color w:val="0000ff"/>
          </w:rPr>
          <w:t xml:space="preserve">"в" пункта 16</w:t>
        </w:r>
      </w:hyperlink>
      <w:r>
        <w:rPr>
          <w:sz w:val="20"/>
        </w:rPr>
        <w:t xml:space="preserve"> Методических</w:t>
      </w:r>
    </w:p>
    <w:p>
      <w:pPr>
        <w:pStyle w:val="0"/>
        <w:jc w:val="center"/>
      </w:pPr>
      <w:r>
        <w:rPr>
          <w:sz w:val="20"/>
        </w:rPr>
        <w:t xml:space="preserve">указаний по определению размера платы за технологическое</w:t>
      </w:r>
    </w:p>
    <w:p>
      <w:pPr>
        <w:pStyle w:val="0"/>
        <w:jc w:val="center"/>
      </w:pPr>
      <w:r>
        <w:rPr>
          <w:sz w:val="20"/>
        </w:rPr>
        <w:t xml:space="preserve">присоединение к электрическим сетям</w:t>
      </w:r>
    </w:p>
    <w:p>
      <w:pPr>
        <w:pStyle w:val="0"/>
        <w:jc w:val="both"/>
      </w:pPr>
      <w:r>
        <w:rPr>
          <w:sz w:val="20"/>
        </w:rPr>
      </w:r>
    </w:p>
    <w:p>
      <w:pPr>
        <w:pStyle w:val="0"/>
        <w:jc w:val="right"/>
      </w:pPr>
      <w:r>
        <w:rPr>
          <w:sz w:val="20"/>
        </w:rPr>
        <w:t xml:space="preserve">руб. на одно присоединение</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91"/>
        <w:gridCol w:w="1701"/>
        <w:gridCol w:w="1814"/>
        <w:gridCol w:w="2041"/>
      </w:tblGrid>
      <w:tr>
        <w:tc>
          <w:tcPr>
            <w:tcW w:w="624" w:type="dxa"/>
          </w:tcPr>
          <w:p>
            <w:pPr>
              <w:pStyle w:val="0"/>
              <w:jc w:val="center"/>
            </w:pPr>
            <w:r>
              <w:rPr>
                <w:sz w:val="20"/>
              </w:rPr>
              <w:t xml:space="preserve">N п/п</w:t>
            </w:r>
          </w:p>
        </w:tc>
        <w:tc>
          <w:tcPr>
            <w:tcW w:w="2891" w:type="dxa"/>
          </w:tcPr>
          <w:p>
            <w:pPr>
              <w:pStyle w:val="0"/>
              <w:jc w:val="center"/>
            </w:pPr>
            <w:r>
              <w:rPr>
                <w:sz w:val="20"/>
              </w:rPr>
              <w:t xml:space="preserve">Показатели</w:t>
            </w:r>
          </w:p>
        </w:tc>
        <w:tc>
          <w:tcPr>
            <w:tcW w:w="1701" w:type="dxa"/>
          </w:tcPr>
          <w:p>
            <w:pPr>
              <w:pStyle w:val="0"/>
              <w:jc w:val="center"/>
            </w:pPr>
            <w:r>
              <w:rPr>
                <w:sz w:val="20"/>
              </w:rPr>
              <w:t xml:space="preserve">Данные за предыдущий период регулирования (n-2)</w:t>
            </w:r>
          </w:p>
        </w:tc>
        <w:tc>
          <w:tcPr>
            <w:tcW w:w="1814" w:type="dxa"/>
          </w:tcPr>
          <w:p>
            <w:pPr>
              <w:pStyle w:val="0"/>
              <w:jc w:val="center"/>
            </w:pPr>
            <w:r>
              <w:rPr>
                <w:sz w:val="20"/>
              </w:rPr>
              <w:t xml:space="preserve">Данные за год (n-3), предшествующий предыдущему периоду регулирования</w:t>
            </w:r>
          </w:p>
        </w:tc>
        <w:tc>
          <w:tcPr>
            <w:tcW w:w="2041" w:type="dxa"/>
          </w:tcPr>
          <w:p>
            <w:pPr>
              <w:pStyle w:val="0"/>
              <w:jc w:val="center"/>
            </w:pPr>
            <w:r>
              <w:rPr>
                <w:sz w:val="20"/>
              </w:rPr>
              <w:t xml:space="preserve">Данные за год, предшествующий году (n-3)</w:t>
            </w:r>
          </w:p>
        </w:tc>
      </w:tr>
      <w:tr>
        <w:tc>
          <w:tcPr>
            <w:tcW w:w="624" w:type="dxa"/>
          </w:tcPr>
          <w:p>
            <w:pPr>
              <w:pStyle w:val="0"/>
              <w:jc w:val="center"/>
            </w:pPr>
            <w:r>
              <w:rPr>
                <w:sz w:val="20"/>
              </w:rPr>
              <w:t xml:space="preserve">1</w:t>
            </w:r>
          </w:p>
        </w:tc>
        <w:tc>
          <w:tcPr>
            <w:tcW w:w="2891" w:type="dxa"/>
          </w:tcPr>
          <w:p>
            <w:pPr>
              <w:pStyle w:val="0"/>
              <w:jc w:val="center"/>
            </w:pPr>
            <w:r>
              <w:rPr>
                <w:sz w:val="20"/>
              </w:rPr>
              <w:t xml:space="preserve">2</w:t>
            </w:r>
          </w:p>
        </w:tc>
        <w:tc>
          <w:tcPr>
            <w:tcW w:w="1701" w:type="dxa"/>
          </w:tcPr>
          <w:p>
            <w:pPr>
              <w:pStyle w:val="0"/>
              <w:jc w:val="center"/>
            </w:pPr>
            <w:r>
              <w:rPr>
                <w:sz w:val="20"/>
              </w:rPr>
              <w:t xml:space="preserve">3</w:t>
            </w:r>
          </w:p>
        </w:tc>
        <w:tc>
          <w:tcPr>
            <w:tcW w:w="1814" w:type="dxa"/>
          </w:tcPr>
          <w:p>
            <w:pPr>
              <w:pStyle w:val="0"/>
              <w:jc w:val="center"/>
            </w:pPr>
            <w:r>
              <w:rPr>
                <w:sz w:val="20"/>
              </w:rPr>
              <w:t xml:space="preserve">4</w:t>
            </w:r>
          </w:p>
        </w:tc>
        <w:tc>
          <w:tcPr>
            <w:tcW w:w="2041" w:type="dxa"/>
          </w:tcPr>
          <w:p>
            <w:pPr>
              <w:pStyle w:val="0"/>
              <w:jc w:val="center"/>
            </w:pPr>
            <w:r>
              <w:rPr>
                <w:sz w:val="20"/>
              </w:rPr>
              <w:t xml:space="preserve">5</w:t>
            </w:r>
          </w:p>
        </w:tc>
      </w:tr>
      <w:tr>
        <w:tc>
          <w:tcPr>
            <w:gridSpan w:val="5"/>
            <w:tcW w:w="9071" w:type="dxa"/>
            <w:vAlign w:val="bottom"/>
          </w:tcPr>
          <w:p>
            <w:pPr>
              <w:pStyle w:val="0"/>
              <w:outlineLvl w:val="2"/>
              <w:ind w:firstLine="283"/>
              <w:jc w:val="both"/>
            </w:pPr>
            <w:r>
              <w:rPr>
                <w:sz w:val="20"/>
              </w:rPr>
              <w:t xml:space="preserve">1. Подготовка и выдача сетевой организацией технических условий Заявителю</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gridSpan w:val="5"/>
            <w:tcW w:w="9071" w:type="dxa"/>
          </w:tcPr>
          <w:p>
            <w:pPr>
              <w:pStyle w:val="0"/>
              <w:outlineLvl w:val="2"/>
              <w:ind w:firstLine="283"/>
              <w:jc w:val="both"/>
            </w:pPr>
            <w:r>
              <w:rPr>
                <w:sz w:val="20"/>
              </w:rPr>
              <w:t xml:space="preserve">2. Проверка сетевой организацией выполнения технических условий Заявителем</w:t>
            </w:r>
          </w:p>
        </w:tc>
      </w:tr>
      <w:tr>
        <w:tc>
          <w:tcPr>
            <w:gridSpan w:val="5"/>
            <w:tcW w:w="9071" w:type="dxa"/>
          </w:tcPr>
          <w:p>
            <w:pPr>
              <w:pStyle w:val="0"/>
              <w:outlineLvl w:val="3"/>
              <w:ind w:firstLine="283"/>
              <w:jc w:val="both"/>
            </w:pPr>
            <w:r>
              <w:rPr>
                <w:sz w:val="20"/>
              </w:rP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history="0" w:anchor="P130" w:tooltip="С1.2.1 - для случаев технологического присоединения объектов Заявителей, указанных в пунктах 12(1), 13(2) - 13(5) и 14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
              <w:r>
                <w:rPr>
                  <w:sz w:val="20"/>
                  <w:color w:val="0000ff"/>
                </w:rPr>
                <w:t xml:space="preserve">абзаце шестом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gridSpan w:val="5"/>
            <w:tcW w:w="9071" w:type="dxa"/>
          </w:tcPr>
          <w:p>
            <w:pPr>
              <w:pStyle w:val="0"/>
              <w:outlineLvl w:val="3"/>
              <w:ind w:firstLine="283"/>
              <w:jc w:val="both"/>
            </w:pPr>
            <w:r>
              <w:rPr>
                <w:sz w:val="20"/>
              </w:rPr>
              <w:t xml:space="preserve">2.2. Проверка сетевой организацией выполнения технических условий Заявителями, указанными в </w:t>
            </w:r>
            <w:hyperlink w:history="0" w:anchor="P131" w:tooltip="С1.2.2 - для случаев технологического присоединения объектов Заявителей, не предусмотренных абзацем шестым настоящего пункта;">
              <w:r>
                <w:rPr>
                  <w:sz w:val="20"/>
                  <w:color w:val="0000ff"/>
                </w:rPr>
                <w:t xml:space="preserve">абзаце седьмом пункта 24</w:t>
              </w:r>
            </w:hyperlink>
            <w:r>
              <w:rPr>
                <w:sz w:val="20"/>
              </w:rPr>
              <w:t xml:space="preserve"> Методических указаний по определению размера платы за технологическое присоединение к электрическим сетям</w:t>
            </w:r>
          </w:p>
        </w:tc>
      </w:tr>
      <w:tr>
        <w:tc>
          <w:tcPr>
            <w:tcW w:w="624" w:type="dxa"/>
          </w:tcPr>
          <w:p>
            <w:pPr>
              <w:pStyle w:val="0"/>
            </w:pPr>
            <w:r>
              <w:rPr>
                <w:sz w:val="20"/>
              </w:rPr>
              <w:t xml:space="preserve">1.</w:t>
            </w:r>
          </w:p>
        </w:tc>
        <w:tc>
          <w:tcPr>
            <w:tcW w:w="2891" w:type="dxa"/>
          </w:tcPr>
          <w:p>
            <w:pPr>
              <w:pStyle w:val="0"/>
            </w:pPr>
            <w:r>
              <w:rPr>
                <w:sz w:val="20"/>
              </w:rPr>
              <w:t xml:space="preserve">Сетевая организация 1</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2.</w:t>
            </w:r>
          </w:p>
        </w:tc>
        <w:tc>
          <w:tcPr>
            <w:tcW w:w="2891" w:type="dxa"/>
          </w:tcPr>
          <w:p>
            <w:pPr>
              <w:pStyle w:val="0"/>
            </w:pPr>
            <w:r>
              <w:rPr>
                <w:sz w:val="20"/>
              </w:rPr>
              <w:t xml:space="preserve">Сетевая организация 2</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w:t>
            </w:r>
          </w:p>
        </w:tc>
        <w:tc>
          <w:tcPr>
            <w:tcW w:w="2891" w:type="dxa"/>
          </w:tcPr>
          <w:p>
            <w:pPr>
              <w:pStyle w:val="0"/>
            </w:pPr>
            <w:r>
              <w:rPr>
                <w:sz w:val="20"/>
              </w:rPr>
              <w:t xml:space="preserve">...</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r>
        <w:tc>
          <w:tcPr>
            <w:tcW w:w="624" w:type="dxa"/>
          </w:tcPr>
          <w:p>
            <w:pPr>
              <w:pStyle w:val="0"/>
            </w:pPr>
            <w:r>
              <w:rPr>
                <w:sz w:val="20"/>
              </w:rPr>
              <w:t xml:space="preserve">N</w:t>
            </w:r>
          </w:p>
        </w:tc>
        <w:tc>
          <w:tcPr>
            <w:tcW w:w="2891" w:type="dxa"/>
          </w:tcPr>
          <w:p>
            <w:pPr>
              <w:pStyle w:val="0"/>
            </w:pPr>
            <w:r>
              <w:rPr>
                <w:sz w:val="20"/>
              </w:rPr>
              <w:t xml:space="preserve">Сетевая организация N</w:t>
            </w:r>
          </w:p>
        </w:tc>
        <w:tc>
          <w:tcPr>
            <w:tcW w:w="1701" w:type="dxa"/>
          </w:tcPr>
          <w:p>
            <w:pPr>
              <w:pStyle w:val="0"/>
            </w:pPr>
            <w:r>
              <w:rPr>
                <w:sz w:val="20"/>
              </w:rPr>
            </w:r>
          </w:p>
        </w:tc>
        <w:tc>
          <w:tcPr>
            <w:tcW w:w="1814" w:type="dxa"/>
          </w:tcPr>
          <w:p>
            <w:pPr>
              <w:pStyle w:val="0"/>
            </w:pPr>
            <w:r>
              <w:rPr>
                <w:sz w:val="20"/>
              </w:rPr>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Методическим указаниям</w:t>
      </w:r>
    </w:p>
    <w:p>
      <w:pPr>
        <w:pStyle w:val="0"/>
        <w:jc w:val="right"/>
      </w:pPr>
      <w:r>
        <w:rPr>
          <w:sz w:val="20"/>
        </w:rPr>
        <w:t xml:space="preserve">по определению размера платы</w:t>
      </w:r>
    </w:p>
    <w:p>
      <w:pPr>
        <w:pStyle w:val="0"/>
        <w:jc w:val="right"/>
      </w:pPr>
      <w:r>
        <w:rPr>
          <w:sz w:val="20"/>
        </w:rPr>
        <w:t xml:space="preserve">за технологическое присоединение</w:t>
      </w:r>
    </w:p>
    <w:p>
      <w:pPr>
        <w:pStyle w:val="0"/>
        <w:jc w:val="right"/>
      </w:pPr>
      <w:r>
        <w:rPr>
          <w:sz w:val="20"/>
        </w:rPr>
        <w:t xml:space="preserve">к электрическим сетям</w:t>
      </w:r>
    </w:p>
    <w:p>
      <w:pPr>
        <w:pStyle w:val="0"/>
        <w:jc w:val="both"/>
      </w:pPr>
      <w:r>
        <w:rPr>
          <w:sz w:val="20"/>
        </w:rPr>
      </w:r>
    </w:p>
    <w:bookmarkStart w:id="1013" w:name="P1013"/>
    <w:bookmarkEnd w:id="1013"/>
    <w:p>
      <w:pPr>
        <w:pStyle w:val="2"/>
        <w:jc w:val="center"/>
      </w:pPr>
      <w:r>
        <w:rPr>
          <w:sz w:val="20"/>
        </w:rPr>
        <w:t xml:space="preserve">ПЕРЕЧЕНЬ СТАНДАРТИЗИРОВАННЫХ ТАРИФНЫХ СТАВОК</w:t>
      </w:r>
    </w:p>
    <w:p>
      <w:pPr>
        <w:pStyle w:val="0"/>
        <w:jc w:val="both"/>
      </w:pPr>
      <w:r>
        <w:rPr>
          <w:sz w:val="20"/>
        </w:rPr>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ФАС России от 30.06.2022 N 490/22</w:t>
            <w:br/>
            <w:t>"Об утверждении Методических указаний по определению размера платы за технологи...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ФАС России от 30.06.2022 N 490/22</w:t>
            <w:br/>
            <w:t>"Об утверждении Методических указаний по определению размера платы за технологи...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16972BCBB2234A18B30280AAFC75A3149C70C0330B9DC875B02895D8FBD1F48E90C96172A4DC6512B9E2D5F15C008B6FD79CE426946062NBD5J" TargetMode = "External"/>
	<Relationship Id="rId8" Type="http://schemas.openxmlformats.org/officeDocument/2006/relationships/hyperlink" Target="consultantplus://offline/ref=8D16972BCBB2234A18B30280AAFC75A3149F7CCC31039DC875B02895D8FBD1F48E90C96171A7DB6A45E3F2D1B80809946AC983E63894N6D2J" TargetMode = "External"/>
	<Relationship Id="rId9" Type="http://schemas.openxmlformats.org/officeDocument/2006/relationships/hyperlink" Target="consultantplus://offline/ref=8D16972BCBB2234A18B30280AAFC75A3149D7CC2310F9DC875B02895D8FBD1F49C90916D73A1C36011ACB484B7N0DBJ" TargetMode = "External"/>
	<Relationship Id="rId10" Type="http://schemas.openxmlformats.org/officeDocument/2006/relationships/hyperlink" Target="consultantplus://offline/ref=8D16972BCBB2234A18B30280AAFC75A313987CC6310C9DC875B02895D8FBD1F49C90916D73A1C36011ACB484B7N0DBJ" TargetMode = "External"/>
	<Relationship Id="rId11" Type="http://schemas.openxmlformats.org/officeDocument/2006/relationships/hyperlink" Target="consultantplus://offline/ref=8D16972BCBB2234A18B30280AAFC75A3139871C0320B9DC875B02895D8FBD1F49C90916D73A1C36011ACB484B7N0DBJ" TargetMode = "External"/>
	<Relationship Id="rId12" Type="http://schemas.openxmlformats.org/officeDocument/2006/relationships/hyperlink" Target="consultantplus://offline/ref=8D16972BCBB2234A18B30280AAFC75A313957DC2360D9DC875B02895D8FBD1F49C90916D73A1C36011ACB484B7N0DBJ" TargetMode = "External"/>
	<Relationship Id="rId13" Type="http://schemas.openxmlformats.org/officeDocument/2006/relationships/hyperlink" Target="consultantplus://offline/ref=8D16972BCBB2234A18B30280AAFC75A3149D7CC7320A9DC875B02895D8FBD1F49C90916D73A1C36011ACB484B7N0DBJ" TargetMode = "External"/>
	<Relationship Id="rId14" Type="http://schemas.openxmlformats.org/officeDocument/2006/relationships/hyperlink" Target="consultantplus://offline/ref=8D16972BCBB2234A18B30280AAFC75A3149D7EC634029DC875B02895D8FBD1F48E90C96370A4D46A45E3F2D1B80809946AC983E63894N6D2J" TargetMode = "External"/>
	<Relationship Id="rId15" Type="http://schemas.openxmlformats.org/officeDocument/2006/relationships/hyperlink" Target="consultantplus://offline/ref=8D16972BCBB2234A18B30280AAFC75A3149F7CCC31039DC875B02895D8FBD1F48E90C96171A6DD6A45E3F2D1B80809946AC983E63894N6D2J" TargetMode = "External"/>
	<Relationship Id="rId16" Type="http://schemas.openxmlformats.org/officeDocument/2006/relationships/hyperlink" Target="consultantplus://offline/ref=8D16972BCBB2234A18B30280AAFC75A3149F78C63C0B9DC875B02895D8FBD1F48E90C9637AAE893055E7BB85B1170C8A75CB9DE6N3DAJ" TargetMode = "External"/>
	<Relationship Id="rId17" Type="http://schemas.openxmlformats.org/officeDocument/2006/relationships/hyperlink" Target="consultantplus://offline/ref=8D16972BCBB2234A18B30280AAFC75A3149F78C63C0B9DC875B02895D8FBD1F48E90C96172A4D96812B9E2D5F15C008B6FD79CE426946062NBD5J" TargetMode = "External"/>
	<Relationship Id="rId18" Type="http://schemas.openxmlformats.org/officeDocument/2006/relationships/hyperlink" Target="consultantplus://offline/ref=8D16972BCBB2234A18B30280AAFC75A3149F78C63C0B9DC875B02895D8FBD1F48E90C96172A4D86110B9E2D5F15C008B6FD79CE426946062NBD5J" TargetMode = "External"/>
	<Relationship Id="rId19" Type="http://schemas.openxmlformats.org/officeDocument/2006/relationships/hyperlink" Target="consultantplus://offline/ref=8D16972BCBB2234A18B30280AAFC75A3149F78C63C0B9DC875B02895D8FBD1F48E90C96172A4D96812B9E2D5F15C008B6FD79CE426946062NBD5J" TargetMode = "External"/>
	<Relationship Id="rId20" Type="http://schemas.openxmlformats.org/officeDocument/2006/relationships/hyperlink" Target="consultantplus://offline/ref=8D16972BCBB2234A18B30280AAFC75A3149F78C63C0B9DC875B02895D8FBD1F48E90C96172A4D86110B9E2D5F15C008B6FD79CE426946062NBD5J" TargetMode = "External"/>
	<Relationship Id="rId21" Type="http://schemas.openxmlformats.org/officeDocument/2006/relationships/hyperlink" Target="consultantplus://offline/ref=8D16972BCBB2234A18B30280AAFC75A3149F78C63C0B9DC875B02895D8FBD1F48E90C96172A4DE6115B9E2D5F15C008B6FD79CE426946062NBD5J" TargetMode = "External"/>
	<Relationship Id="rId22" Type="http://schemas.openxmlformats.org/officeDocument/2006/relationships/hyperlink" Target="consultantplus://offline/ref=8D16972BCBB2234A18B30280AAFC75A3149F7CCC31039DC875B02895D8FBD1F48E90C96171A6DE6A45E3F2D1B80809946AC983E63894N6D2J" TargetMode = "External"/>
	<Relationship Id="rId23" Type="http://schemas.openxmlformats.org/officeDocument/2006/relationships/hyperlink" Target="consultantplus://offline/ref=8D16972BCBB2234A18B30280AAFC75A3149F7CCC31039DC875B02895D8FBD1F48E90C96171A6DE6A45E3F2D1B80809946AC983E63894N6D2J" TargetMode = "External"/>
	<Relationship Id="rId24" Type="http://schemas.openxmlformats.org/officeDocument/2006/relationships/hyperlink" Target="consultantplus://offline/ref=8D16972BCBB2234A18B30280AAFC75A3149F78C63C0B9DC875B02895D8FBD1F48E90C96872A2D63540F6E389B40D138B6BD79FE43AN9D4J" TargetMode = "External"/>
	<Relationship Id="rId25" Type="http://schemas.openxmlformats.org/officeDocument/2006/relationships/hyperlink" Target="consultantplus://offline/ref=8D16972BCBB2234A18B30280AAFC75A3149F78C63C0B9DC875B02895D8FBD1F48E90C96172A4DE6115B9E2D5F15C008B6FD79CE426946062NBD5J" TargetMode = "External"/>
	<Relationship Id="rId26" Type="http://schemas.openxmlformats.org/officeDocument/2006/relationships/hyperlink" Target="consultantplus://offline/ref=8D16972BCBB2234A18B30280AAFC75A3149F78C63C0B9DC875B02895D8FBD1F48E90C96277A2D46A45E3F2D1B80809946AC983E63894N6D2J" TargetMode = "External"/>
	<Relationship Id="rId27" Type="http://schemas.openxmlformats.org/officeDocument/2006/relationships/hyperlink" Target="consultantplus://offline/ref=8D16972BCBB2234A18B30280AAFC75A3149F78C63C0B9DC875B02895D8FBD1F48E90C96277ACD56A45E3F2D1B80809946AC983E63894N6D2J" TargetMode = "External"/>
	<Relationship Id="rId28" Type="http://schemas.openxmlformats.org/officeDocument/2006/relationships/hyperlink" Target="consultantplus://offline/ref=8D16972BCBB2234A18B30280AAFC75A3149F78C63C0B9DC875B02895D8FBD1F48E90C96172A4DD6911B9E2D5F15C008B6FD79CE426946062NBD5J" TargetMode = "External"/>
	<Relationship Id="rId29" Type="http://schemas.openxmlformats.org/officeDocument/2006/relationships/hyperlink" Target="consultantplus://offline/ref=8D16972BCBB2234A18B30280AAFC75A3149F7CCC31039DC875B02895D8FBD1F48E90C9627AA2D63540F6E389B40D138B6BD79FE43AN9D4J" TargetMode = "External"/>
	<Relationship Id="rId30" Type="http://schemas.openxmlformats.org/officeDocument/2006/relationships/hyperlink" Target="consultantplus://offline/ref=8D16972BCBB2234A18B30280AAFC75A3149F7CCC31039DC875B02895D8FBD1F48E90C96171A6DE6A45E3F2D1B80809946AC983E63894N6D2J" TargetMode = "External"/>
	<Relationship Id="rId31" Type="http://schemas.openxmlformats.org/officeDocument/2006/relationships/hyperlink" Target="consultantplus://offline/ref=8D16972BCBB2234A18B30280AAFC75A311947CC1300B9DC875B02895D8FBD1F48E90C96172A5DD6118B9E2D5F15C008B6FD79CE426946062NBD5J" TargetMode = "External"/>
	<Relationship Id="rId32" Type="http://schemas.openxmlformats.org/officeDocument/2006/relationships/hyperlink" Target="consultantplus://offline/ref=8D16972BCBB2234A18B30280AAFC75A3149F78C63C0B9DC875B02895D8FBD1F48E90C96172A5D56916B9E2D5F15C008B6FD79CE426946062NBD5J" TargetMode = "External"/>
	<Relationship Id="rId33" Type="http://schemas.openxmlformats.org/officeDocument/2006/relationships/image" Target="media/image2.wmf"/>
	<Relationship Id="rId34" Type="http://schemas.openxmlformats.org/officeDocument/2006/relationships/image" Target="media/image3.wmf"/>
	<Relationship Id="rId35" Type="http://schemas.openxmlformats.org/officeDocument/2006/relationships/image" Target="media/image4.wmf"/>
	<Relationship Id="rId36" Type="http://schemas.openxmlformats.org/officeDocument/2006/relationships/image" Target="media/image5.wmf"/>
	<Relationship Id="rId37" Type="http://schemas.openxmlformats.org/officeDocument/2006/relationships/hyperlink" Target="consultantplus://offline/ref=8D16972BCBB2234A18B30280AAFC75A3149F78C63C0B9DC875B02895D8FBD1F48E90C96172A4D96414B9E2D5F15C008B6FD79CE426946062NBD5J" TargetMode = "External"/>
	<Relationship Id="rId38" Type="http://schemas.openxmlformats.org/officeDocument/2006/relationships/hyperlink" Target="consultantplus://offline/ref=8D16972BCBB2234A18B30280AAFC75A3149F78C63C0B9DC875B02895D8FBD1F48E90C96172A4D96417B9E2D5F15C008B6FD79CE426946062NBD5J" TargetMode = "External"/>
	<Relationship Id="rId39" Type="http://schemas.openxmlformats.org/officeDocument/2006/relationships/hyperlink" Target="consultantplus://offline/ref=8D16972BCBB2234A18B30280AAFC75A3149F7CCC31039DC875B02895D8FBD1F48E90C96171A6DE6A45E3F2D1B80809946AC983E63894N6D2J" TargetMode = "External"/>
	<Relationship Id="rId40" Type="http://schemas.openxmlformats.org/officeDocument/2006/relationships/hyperlink" Target="consultantplus://offline/ref=8D16972BCBB2234A18B30280AAFC75A3149F78C63C0B9DC875B02895D8FBD1F48E90C96172A4DE6115B9E2D5F15C008B6FD79CE426946062NBD5J" TargetMode = "External"/>
	<Relationship Id="rId41" Type="http://schemas.openxmlformats.org/officeDocument/2006/relationships/hyperlink" Target="consultantplus://offline/ref=8D16972BCBB2234A18B30280AAFC75A3149F78C63C0B9DC875B02895D8FBD1F48E90C96277A2D46A45E3F2D1B80809946AC983E63894N6D2J" TargetMode = "External"/>
	<Relationship Id="rId42" Type="http://schemas.openxmlformats.org/officeDocument/2006/relationships/hyperlink" Target="consultantplus://offline/ref=8D16972BCBB2234A18B30280AAFC75A3149F78C63C0B9DC875B02895D8FBD1F48E90C96277ACD56A45E3F2D1B80809946AC983E63894N6D2J" TargetMode = "External"/>
	<Relationship Id="rId43" Type="http://schemas.openxmlformats.org/officeDocument/2006/relationships/hyperlink" Target="consultantplus://offline/ref=8D16972BCBB2234A18B30280AAFC75A3149F78C63C0B9DC875B02895D8FBD1F48E90C96172A4DD6911B9E2D5F15C008B6FD79CE426946062NBD5J" TargetMode = "External"/>
	<Relationship Id="rId44" Type="http://schemas.openxmlformats.org/officeDocument/2006/relationships/image" Target="media/image6.wmf"/>
	<Relationship Id="rId45" Type="http://schemas.openxmlformats.org/officeDocument/2006/relationships/image" Target="media/image7.wmf"/>
	<Relationship Id="rId46" Type="http://schemas.openxmlformats.org/officeDocument/2006/relationships/image" Target="media/image8.wmf"/>
	<Relationship Id="rId47" Type="http://schemas.openxmlformats.org/officeDocument/2006/relationships/image" Target="media/image9.wmf"/>
	<Relationship Id="rId48" Type="http://schemas.openxmlformats.org/officeDocument/2006/relationships/image" Target="media/image10.wmf"/>
	<Relationship Id="rId49" Type="http://schemas.openxmlformats.org/officeDocument/2006/relationships/image" Target="media/image11.wmf"/>
	<Relationship Id="rId50" Type="http://schemas.openxmlformats.org/officeDocument/2006/relationships/image" Target="media/image12.wmf"/>
	<Relationship Id="rId51" Type="http://schemas.openxmlformats.org/officeDocument/2006/relationships/image" Target="media/image13.wmf"/>
	<Relationship Id="rId52" Type="http://schemas.openxmlformats.org/officeDocument/2006/relationships/image" Target="media/image14.wmf"/>
	<Relationship Id="rId53" Type="http://schemas.openxmlformats.org/officeDocument/2006/relationships/image" Target="media/image15.wmf"/>
	<Relationship Id="rId54" Type="http://schemas.openxmlformats.org/officeDocument/2006/relationships/image" Target="media/image16.wmf"/>
	<Relationship Id="rId55" Type="http://schemas.openxmlformats.org/officeDocument/2006/relationships/image" Target="media/image17.wmf"/>
	<Relationship Id="rId56" Type="http://schemas.openxmlformats.org/officeDocument/2006/relationships/image" Target="media/image18.wmf"/>
	<Relationship Id="rId57" Type="http://schemas.openxmlformats.org/officeDocument/2006/relationships/image" Target="media/image19.wmf"/>
	<Relationship Id="rId58" Type="http://schemas.openxmlformats.org/officeDocument/2006/relationships/image" Target="media/image20.wmf"/>
	<Relationship Id="rId59" Type="http://schemas.openxmlformats.org/officeDocument/2006/relationships/image" Target="media/image21.wmf"/>
	<Relationship Id="rId60" Type="http://schemas.openxmlformats.org/officeDocument/2006/relationships/image" Target="media/image22.wmf"/>
	<Relationship Id="rId61" Type="http://schemas.openxmlformats.org/officeDocument/2006/relationships/image" Target="media/image23.wmf"/>
	<Relationship Id="rId62" Type="http://schemas.openxmlformats.org/officeDocument/2006/relationships/image" Target="media/image24.wmf"/>
	<Relationship Id="rId63" Type="http://schemas.openxmlformats.org/officeDocument/2006/relationships/image" Target="media/image25.wmf"/>
	<Relationship Id="rId64" Type="http://schemas.openxmlformats.org/officeDocument/2006/relationships/image" Target="media/image26.wmf"/>
	<Relationship Id="rId65" Type="http://schemas.openxmlformats.org/officeDocument/2006/relationships/image" Target="media/image27.wmf"/>
	<Relationship Id="rId66" Type="http://schemas.openxmlformats.org/officeDocument/2006/relationships/image" Target="media/image28.wmf"/>
	<Relationship Id="rId67" Type="http://schemas.openxmlformats.org/officeDocument/2006/relationships/image" Target="media/image29.wmf"/>
	<Relationship Id="rId68" Type="http://schemas.openxmlformats.org/officeDocument/2006/relationships/image" Target="media/image30.wmf"/>
	<Relationship Id="rId69" Type="http://schemas.openxmlformats.org/officeDocument/2006/relationships/image" Target="media/image31.wmf"/>
	<Relationship Id="rId70" Type="http://schemas.openxmlformats.org/officeDocument/2006/relationships/image" Target="media/image32.wmf"/>
	<Relationship Id="rId71" Type="http://schemas.openxmlformats.org/officeDocument/2006/relationships/image" Target="media/image33.wmf"/>
	<Relationship Id="rId72" Type="http://schemas.openxmlformats.org/officeDocument/2006/relationships/image" Target="media/image34.wmf"/>
	<Relationship Id="rId73" Type="http://schemas.openxmlformats.org/officeDocument/2006/relationships/image" Target="media/image35.wmf"/>
	<Relationship Id="rId74" Type="http://schemas.openxmlformats.org/officeDocument/2006/relationships/image" Target="media/image36.wmf"/>
	<Relationship Id="rId75" Type="http://schemas.openxmlformats.org/officeDocument/2006/relationships/hyperlink" Target="consultantplus://offline/ref=8D16972BCBB2234A18B30280AAFC75A3139871CC360E9DC875B02895D8FBD1F48E90C96172A5DE6615B9E2D5F15C008B6FD79CE426946062NBD5J" TargetMode = "External"/>
	<Relationship Id="rId76" Type="http://schemas.openxmlformats.org/officeDocument/2006/relationships/image" Target="media/image37.wmf"/>
	<Relationship Id="rId77" Type="http://schemas.openxmlformats.org/officeDocument/2006/relationships/hyperlink" Target="consultantplus://offline/ref=8D16972BCBB2234A18B30280AAFC75A3139871CC360E9DC875B02895D8FBD1F48E90C96172A5DE6615B9E2D5F15C008B6FD79CE426946062NBD5J" TargetMode = "External"/>
	<Relationship Id="rId78" Type="http://schemas.openxmlformats.org/officeDocument/2006/relationships/image" Target="media/image38.wmf"/>
	<Relationship Id="rId79" Type="http://schemas.openxmlformats.org/officeDocument/2006/relationships/image" Target="media/image39.wmf"/>
	<Relationship Id="rId80" Type="http://schemas.openxmlformats.org/officeDocument/2006/relationships/image" Target="media/image40.wmf"/>
	<Relationship Id="rId81" Type="http://schemas.openxmlformats.org/officeDocument/2006/relationships/image" Target="media/image41.wmf"/>
	<Relationship Id="rId82" Type="http://schemas.openxmlformats.org/officeDocument/2006/relationships/image" Target="media/image42.wmf"/>
	<Relationship Id="rId83" Type="http://schemas.openxmlformats.org/officeDocument/2006/relationships/image" Target="media/image43.wmf"/>
	<Relationship Id="rId84" Type="http://schemas.openxmlformats.org/officeDocument/2006/relationships/image" Target="media/image44.wmf"/>
	<Relationship Id="rId85" Type="http://schemas.openxmlformats.org/officeDocument/2006/relationships/image" Target="media/image45.wmf"/>
	<Relationship Id="rId86" Type="http://schemas.openxmlformats.org/officeDocument/2006/relationships/image" Target="media/image46.wmf"/>
	<Relationship Id="rId87" Type="http://schemas.openxmlformats.org/officeDocument/2006/relationships/image" Target="media/image47.wmf"/>
	<Relationship Id="rId88" Type="http://schemas.openxmlformats.org/officeDocument/2006/relationships/image" Target="media/image48.wmf"/>
	<Relationship Id="rId89" Type="http://schemas.openxmlformats.org/officeDocument/2006/relationships/image" Target="media/image49.wmf"/>
	<Relationship Id="rId90" Type="http://schemas.openxmlformats.org/officeDocument/2006/relationships/image" Target="media/image50.wmf"/>
	<Relationship Id="rId91" Type="http://schemas.openxmlformats.org/officeDocument/2006/relationships/image" Target="media/image51.wmf"/>
	<Relationship Id="rId92" Type="http://schemas.openxmlformats.org/officeDocument/2006/relationships/image" Target="media/image52.wmf"/>
	<Relationship Id="rId93" Type="http://schemas.openxmlformats.org/officeDocument/2006/relationships/image" Target="media/image53.wmf"/>
	<Relationship Id="rId94" Type="http://schemas.openxmlformats.org/officeDocument/2006/relationships/image" Target="media/image54.wmf"/>
	<Relationship Id="rId95" Type="http://schemas.openxmlformats.org/officeDocument/2006/relationships/image" Target="media/image55.wmf"/>
	<Relationship Id="rId96" Type="http://schemas.openxmlformats.org/officeDocument/2006/relationships/image" Target="media/image56.wmf"/>
	<Relationship Id="rId97" Type="http://schemas.openxmlformats.org/officeDocument/2006/relationships/image" Target="media/image57.wmf"/>
	<Relationship Id="rId98" Type="http://schemas.openxmlformats.org/officeDocument/2006/relationships/image" Target="media/image58.wmf"/>
	<Relationship Id="rId99" Type="http://schemas.openxmlformats.org/officeDocument/2006/relationships/image" Target="media/image59.wmf"/>
	<Relationship Id="rId100" Type="http://schemas.openxmlformats.org/officeDocument/2006/relationships/image" Target="media/image60.wmf"/>
	<Relationship Id="rId101" Type="http://schemas.openxmlformats.org/officeDocument/2006/relationships/image" Target="media/image61.wmf"/>
	<Relationship Id="rId102" Type="http://schemas.openxmlformats.org/officeDocument/2006/relationships/image" Target="media/image62.wmf"/>
	<Relationship Id="rId103" Type="http://schemas.openxmlformats.org/officeDocument/2006/relationships/image" Target="media/image63.wmf"/>
	<Relationship Id="rId104" Type="http://schemas.openxmlformats.org/officeDocument/2006/relationships/image" Target="media/image64.wmf"/>
	<Relationship Id="rId105" Type="http://schemas.openxmlformats.org/officeDocument/2006/relationships/image" Target="media/image65.wmf"/>
	<Relationship Id="rId106" Type="http://schemas.openxmlformats.org/officeDocument/2006/relationships/image" Target="media/image66.wmf"/>
	<Relationship Id="rId107" Type="http://schemas.openxmlformats.org/officeDocument/2006/relationships/image" Target="media/image67.wmf"/>
	<Relationship Id="rId108" Type="http://schemas.openxmlformats.org/officeDocument/2006/relationships/image" Target="media/image68.wmf"/>
	<Relationship Id="rId109" Type="http://schemas.openxmlformats.org/officeDocument/2006/relationships/image" Target="media/image69.wmf"/>
	<Relationship Id="rId110" Type="http://schemas.openxmlformats.org/officeDocument/2006/relationships/image" Target="media/image70.wmf"/>
	<Relationship Id="rId111" Type="http://schemas.openxmlformats.org/officeDocument/2006/relationships/image" Target="media/image71.wmf"/>
	<Relationship Id="rId112" Type="http://schemas.openxmlformats.org/officeDocument/2006/relationships/image" Target="media/image72.wmf"/>
	<Relationship Id="rId113" Type="http://schemas.openxmlformats.org/officeDocument/2006/relationships/image" Target="media/image73.wmf"/>
	<Relationship Id="rId114" Type="http://schemas.openxmlformats.org/officeDocument/2006/relationships/image" Target="media/image74.wmf"/>
	<Relationship Id="rId115" Type="http://schemas.openxmlformats.org/officeDocument/2006/relationships/image" Target="media/image75.wmf"/>
	<Relationship Id="rId116" Type="http://schemas.openxmlformats.org/officeDocument/2006/relationships/image" Target="media/image76.wmf"/>
	<Relationship Id="rId117" Type="http://schemas.openxmlformats.org/officeDocument/2006/relationships/image" Target="media/image77.wmf"/>
	<Relationship Id="rId118" Type="http://schemas.openxmlformats.org/officeDocument/2006/relationships/image" Target="media/image78.wmf"/>
	<Relationship Id="rId119" Type="http://schemas.openxmlformats.org/officeDocument/2006/relationships/image" Target="media/image79.wmf"/>
	<Relationship Id="rId120" Type="http://schemas.openxmlformats.org/officeDocument/2006/relationships/image" Target="media/image80.wmf"/>
	<Relationship Id="rId121" Type="http://schemas.openxmlformats.org/officeDocument/2006/relationships/image" Target="media/image81.wmf"/>
	<Relationship Id="rId122" Type="http://schemas.openxmlformats.org/officeDocument/2006/relationships/image" Target="media/image82.wmf"/>
	<Relationship Id="rId123" Type="http://schemas.openxmlformats.org/officeDocument/2006/relationships/image" Target="media/image83.wmf"/>
	<Relationship Id="rId124" Type="http://schemas.openxmlformats.org/officeDocument/2006/relationships/image" Target="media/image84.wmf"/>
	<Relationship Id="rId125" Type="http://schemas.openxmlformats.org/officeDocument/2006/relationships/image" Target="media/image85.wmf"/>
	<Relationship Id="rId126" Type="http://schemas.openxmlformats.org/officeDocument/2006/relationships/image" Target="media/image86.wmf"/>
	<Relationship Id="rId127" Type="http://schemas.openxmlformats.org/officeDocument/2006/relationships/image" Target="media/image87.wmf"/>
	<Relationship Id="rId128" Type="http://schemas.openxmlformats.org/officeDocument/2006/relationships/image" Target="media/image88.wmf"/>
	<Relationship Id="rId129" Type="http://schemas.openxmlformats.org/officeDocument/2006/relationships/image" Target="media/image89.wmf"/>
	<Relationship Id="rId130" Type="http://schemas.openxmlformats.org/officeDocument/2006/relationships/image" Target="media/image90.wmf"/>
	<Relationship Id="rId131" Type="http://schemas.openxmlformats.org/officeDocument/2006/relationships/image" Target="media/image91.wmf"/>
	<Relationship Id="rId132" Type="http://schemas.openxmlformats.org/officeDocument/2006/relationships/image" Target="media/image92.wmf"/>
	<Relationship Id="rId133" Type="http://schemas.openxmlformats.org/officeDocument/2006/relationships/image" Target="media/image93.wmf"/>
	<Relationship Id="rId134" Type="http://schemas.openxmlformats.org/officeDocument/2006/relationships/image" Target="media/image94.wmf"/>
	<Relationship Id="rId135" Type="http://schemas.openxmlformats.org/officeDocument/2006/relationships/image" Target="media/image95.wmf"/>
	<Relationship Id="rId136" Type="http://schemas.openxmlformats.org/officeDocument/2006/relationships/image" Target="media/image96.wmf"/>
	<Relationship Id="rId137" Type="http://schemas.openxmlformats.org/officeDocument/2006/relationships/image" Target="media/image97.wmf"/>
	<Relationship Id="rId138" Type="http://schemas.openxmlformats.org/officeDocument/2006/relationships/image" Target="media/image98.wmf"/>
	<Relationship Id="rId139" Type="http://schemas.openxmlformats.org/officeDocument/2006/relationships/image" Target="media/image99.wmf"/>
	<Relationship Id="rId140" Type="http://schemas.openxmlformats.org/officeDocument/2006/relationships/image" Target="media/image100.wmf"/>
	<Relationship Id="rId141" Type="http://schemas.openxmlformats.org/officeDocument/2006/relationships/image" Target="media/image101.wmf"/>
	<Relationship Id="rId142" Type="http://schemas.openxmlformats.org/officeDocument/2006/relationships/image" Target="media/image102.wmf"/>
	<Relationship Id="rId143" Type="http://schemas.openxmlformats.org/officeDocument/2006/relationships/image" Target="media/image103.wmf"/>
	<Relationship Id="rId144" Type="http://schemas.openxmlformats.org/officeDocument/2006/relationships/image" Target="media/image104.wmf"/>
	<Relationship Id="rId145" Type="http://schemas.openxmlformats.org/officeDocument/2006/relationships/image" Target="media/image105.wmf"/>
	<Relationship Id="rId146" Type="http://schemas.openxmlformats.org/officeDocument/2006/relationships/hyperlink" Target="consultantplus://offline/ref=8D16972BCBB2234A18B30280AAFC75A3149F7CCC31039DC875B02895D8FBD1F48E90C96171A6DD6A45E3F2D1B80809946AC983E63894N6D2J" TargetMode = "External"/>
	<Relationship Id="rId147" Type="http://schemas.openxmlformats.org/officeDocument/2006/relationships/image" Target="media/image106.wmf"/>
	<Relationship Id="rId148" Type="http://schemas.openxmlformats.org/officeDocument/2006/relationships/hyperlink" Target="consultantplus://offline/ref=8D16972BCBB2234A18B30280AAFC75A3149F7CCC31039DC875B02895D8FBD1F48E90C96171A6DD6A45E3F2D1B80809946AC983E63894N6D2J" TargetMode = "External"/>
	<Relationship Id="rId149" Type="http://schemas.openxmlformats.org/officeDocument/2006/relationships/image" Target="media/image107.wmf"/>
	<Relationship Id="rId150" Type="http://schemas.openxmlformats.org/officeDocument/2006/relationships/hyperlink" Target="consultantplus://offline/ref=8D16972BCBB2234A18B30280AAFC75A3149F7CCC31039DC875B02895D8FBD1F48E90C96171A6DD6A45E3F2D1B80809946AC983E63894N6D2J" TargetMode = "External"/>
	<Relationship Id="rId151" Type="http://schemas.openxmlformats.org/officeDocument/2006/relationships/image" Target="media/image108.wmf"/>
	<Relationship Id="rId152" Type="http://schemas.openxmlformats.org/officeDocument/2006/relationships/hyperlink" Target="consultantplus://offline/ref=8D16972BCBB2234A18B30280AAFC75A3149F7CCC31039DC875B02895D8FBD1F48E90C96171A6DD6A45E3F2D1B80809946AC983E63894N6D2J" TargetMode = "External"/>
	<Relationship Id="rId153" Type="http://schemas.openxmlformats.org/officeDocument/2006/relationships/image" Target="media/image109.wmf"/>
	<Relationship Id="rId154" Type="http://schemas.openxmlformats.org/officeDocument/2006/relationships/image" Target="media/image110.wmf"/>
	<Relationship Id="rId155" Type="http://schemas.openxmlformats.org/officeDocument/2006/relationships/image" Target="media/image111.wmf"/>
	<Relationship Id="rId156" Type="http://schemas.openxmlformats.org/officeDocument/2006/relationships/image" Target="media/image112.wmf"/>
	<Relationship Id="rId157" Type="http://schemas.openxmlformats.org/officeDocument/2006/relationships/image" Target="media/image113.wmf"/>
	<Relationship Id="rId158" Type="http://schemas.openxmlformats.org/officeDocument/2006/relationships/image" Target="media/image114.wmf"/>
	<Relationship Id="rId159" Type="http://schemas.openxmlformats.org/officeDocument/2006/relationships/image" Target="media/image115.wmf"/>
	<Relationship Id="rId160" Type="http://schemas.openxmlformats.org/officeDocument/2006/relationships/image" Target="media/image116.wmf"/>
	<Relationship Id="rId161" Type="http://schemas.openxmlformats.org/officeDocument/2006/relationships/image" Target="media/image117.wmf"/>
	<Relationship Id="rId162" Type="http://schemas.openxmlformats.org/officeDocument/2006/relationships/image" Target="media/image118.wmf"/>
	<Relationship Id="rId163" Type="http://schemas.openxmlformats.org/officeDocument/2006/relationships/image" Target="media/image119.wmf"/>
	<Relationship Id="rId164" Type="http://schemas.openxmlformats.org/officeDocument/2006/relationships/image" Target="media/image120.wmf"/>
	<Relationship Id="rId165" Type="http://schemas.openxmlformats.org/officeDocument/2006/relationships/image" Target="media/image121.wmf"/>
	<Relationship Id="rId166" Type="http://schemas.openxmlformats.org/officeDocument/2006/relationships/image" Target="media/image122.wmf"/>
	<Relationship Id="rId167" Type="http://schemas.openxmlformats.org/officeDocument/2006/relationships/image" Target="media/image123.wmf"/>
	<Relationship Id="rId168" Type="http://schemas.openxmlformats.org/officeDocument/2006/relationships/image" Target="media/image124.wmf"/>
	<Relationship Id="rId169" Type="http://schemas.openxmlformats.org/officeDocument/2006/relationships/image" Target="media/image125.wmf"/>
	<Relationship Id="rId170" Type="http://schemas.openxmlformats.org/officeDocument/2006/relationships/image" Target="media/image126.wmf"/>
	<Relationship Id="rId171" Type="http://schemas.openxmlformats.org/officeDocument/2006/relationships/image" Target="media/image127.wmf"/>
	<Relationship Id="rId172" Type="http://schemas.openxmlformats.org/officeDocument/2006/relationships/image" Target="media/image128.wmf"/>
	<Relationship Id="rId173" Type="http://schemas.openxmlformats.org/officeDocument/2006/relationships/image" Target="media/image129.wmf"/>
	<Relationship Id="rId174" Type="http://schemas.openxmlformats.org/officeDocument/2006/relationships/image" Target="media/image130.wmf"/>
	<Relationship Id="rId175" Type="http://schemas.openxmlformats.org/officeDocument/2006/relationships/image" Target="media/image131.wmf"/>
	<Relationship Id="rId176" Type="http://schemas.openxmlformats.org/officeDocument/2006/relationships/image" Target="media/image132.wmf"/>
	<Relationship Id="rId177" Type="http://schemas.openxmlformats.org/officeDocument/2006/relationships/image" Target="media/image133.wmf"/>
	<Relationship Id="rId178" Type="http://schemas.openxmlformats.org/officeDocument/2006/relationships/image" Target="media/image134.wmf"/>
	<Relationship Id="rId179" Type="http://schemas.openxmlformats.org/officeDocument/2006/relationships/image" Target="media/image135.wmf"/>
	<Relationship Id="rId180" Type="http://schemas.openxmlformats.org/officeDocument/2006/relationships/image" Target="media/image136.wmf"/>
	<Relationship Id="rId181" Type="http://schemas.openxmlformats.org/officeDocument/2006/relationships/image" Target="media/image137.wmf"/>
	<Relationship Id="rId182" Type="http://schemas.openxmlformats.org/officeDocument/2006/relationships/image" Target="media/image138.wmf"/>
	<Relationship Id="rId183" Type="http://schemas.openxmlformats.org/officeDocument/2006/relationships/hyperlink" Target="consultantplus://offline/ref=8D16972BCBB2234A18B30280AAFC75A3149F7CCC31039DC875B02895D8FBD1F48E90C96171A6DD6A45E3F2D1B80809946AC983E63894N6D2J" TargetMode = "External"/>
	<Relationship Id="rId184" Type="http://schemas.openxmlformats.org/officeDocument/2006/relationships/hyperlink" Target="consultantplus://offline/ref=8D16972BCBB2234A18B30280AAFC75A3149F7CCC31039DC875B02895D8FBD1F48E90C96171A6DD6A45E3F2D1B80809946AC983E63894N6D2J" TargetMode = "External"/>
	<Relationship Id="rId185" Type="http://schemas.openxmlformats.org/officeDocument/2006/relationships/hyperlink" Target="consultantplus://offline/ref=8D16972BCBB2234A18B30280AAFC75A3149F7CCC31039DC875B02895D8FBD1F48E90C96171A6DD6A45E3F2D1B80809946AC983E63894N6D2J" TargetMode = "External"/>
	<Relationship Id="rId186" Type="http://schemas.openxmlformats.org/officeDocument/2006/relationships/hyperlink" Target="consultantplus://offline/ref=8D16972BCBB2234A18B30280AAFC75A3149F78C63C0B9DC875B02895D8FBD1F48E90C96373A7DB6A45E3F2D1B80809946AC983E63894N6D2J" TargetMode = "External"/>
	<Relationship Id="rId187" Type="http://schemas.openxmlformats.org/officeDocument/2006/relationships/hyperlink" Target="consultantplus://offline/ref=8D16972BCBB2234A18B30280AAFC75A3149F78C63C0B9DC875B02895D8FBD1F48E90C96373A6DC6A45E3F2D1B80809946AC983E63894N6D2J" TargetMode = "External"/>
	<Relationship Id="rId188" Type="http://schemas.openxmlformats.org/officeDocument/2006/relationships/hyperlink" Target="consultantplus://offline/ref=8D16972BCBB2234A18B30280AAFC75A3149F78C63C0B9DC875B02895D8FBD1F48E90C96276A6DE6A45E3F2D1B80809946AC983E63894N6D2J" TargetMode = "External"/>
	<Relationship Id="rId189" Type="http://schemas.openxmlformats.org/officeDocument/2006/relationships/hyperlink" Target="consultantplus://offline/ref=8D16972BCBB2234A18B30280AAFC75A3149F7FC436099DC875B02895D8FBD1F48E90C96172A5DD6011B9E2D5F15C008B6FD79CE426946062NBD5J" TargetMode = "External"/>
	<Relationship Id="rId190" Type="http://schemas.openxmlformats.org/officeDocument/2006/relationships/header" Target="header2.xml"/>
	<Relationship Id="rId19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30.06.2022 N 490/22
"Об утверждении Методических указаний по определению размера платы за технологическое присоединение к электрическим сетям"
(Зарегистрировано в Минюсте России 19.08.2022 N 69710)</dc:title>
  <dcterms:created xsi:type="dcterms:W3CDTF">2022-10-14T09:03:13Z</dcterms:created>
</cp:coreProperties>
</file>